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关于向社会公开征求《花都区社会抚养费征收管理</w:t>
      </w:r>
    </w:p>
    <w:p>
      <w:pPr>
        <w:spacing w:line="520" w:lineRule="exact"/>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实施意见（征求意见稿）》的通知</w:t>
      </w:r>
    </w:p>
    <w:p>
      <w:pPr>
        <w:spacing w:line="520" w:lineRule="exact"/>
        <w:jc w:val="center"/>
        <w:rPr>
          <w:rFonts w:hint="eastAsia" w:ascii="仿宋" w:hAnsi="仿宋" w:eastAsia="仿宋" w:cs="仿宋"/>
          <w:sz w:val="32"/>
          <w:szCs w:val="32"/>
          <w:lang w:eastAsia="zh-CN"/>
        </w:rPr>
      </w:pPr>
      <w:r>
        <w:rPr>
          <w:rFonts w:hint="eastAsia" w:ascii="仿宋" w:hAnsi="仿宋" w:eastAsia="仿宋" w:cs="仿宋"/>
          <w:sz w:val="32"/>
          <w:szCs w:val="32"/>
        </w:rPr>
        <w:t>2018年7月2</w:t>
      </w:r>
      <w:r>
        <w:rPr>
          <w:rFonts w:hint="eastAsia" w:ascii="仿宋" w:hAnsi="仿宋" w:eastAsia="仿宋" w:cs="仿宋"/>
          <w:sz w:val="32"/>
          <w:szCs w:val="32"/>
          <w:lang w:val="en-US" w:eastAsia="zh-CN"/>
        </w:rPr>
        <w:t>6日</w:t>
      </w:r>
    </w:p>
    <w:p>
      <w:pPr>
        <w:spacing w:line="520" w:lineRule="exact"/>
        <w:rPr>
          <w:rFonts w:ascii="仿宋" w:hAnsi="仿宋" w:eastAsia="仿宋"/>
          <w:sz w:val="32"/>
          <w:szCs w:val="32"/>
        </w:rPr>
      </w:pPr>
    </w:p>
    <w:p>
      <w:pPr>
        <w:spacing w:line="520" w:lineRule="exact"/>
        <w:rPr>
          <w:rFonts w:ascii="仿宋" w:hAnsi="仿宋" w:eastAsia="仿宋"/>
          <w:sz w:val="32"/>
          <w:szCs w:val="32"/>
        </w:rPr>
      </w:pPr>
      <w:r>
        <w:rPr>
          <w:rFonts w:hint="eastAsia" w:ascii="仿宋" w:hAnsi="仿宋" w:eastAsia="仿宋"/>
          <w:sz w:val="32"/>
          <w:szCs w:val="32"/>
        </w:rPr>
        <w:t>各单位、个人:</w:t>
      </w:r>
    </w:p>
    <w:p>
      <w:pPr>
        <w:spacing w:line="520" w:lineRule="exact"/>
        <w:rPr>
          <w:rFonts w:ascii="仿宋" w:hAnsi="仿宋" w:eastAsia="仿宋"/>
          <w:sz w:val="32"/>
          <w:szCs w:val="32"/>
        </w:rPr>
      </w:pPr>
      <w:r>
        <w:rPr>
          <w:rFonts w:hint="eastAsia" w:ascii="仿宋" w:hAnsi="仿宋" w:eastAsia="仿宋"/>
          <w:sz w:val="32"/>
          <w:szCs w:val="32"/>
        </w:rPr>
        <w:t>　　为切实加强我区社会抚养费的征收管理，根据《中华人民共和国人口与计划生育法》、《社会抚养费征收管理办法》、《广东省人口与计划生育条例》以及省、市有关社会抚养费征收的有关文件规定，结合我区实际，我局代拟《花都区社会抚养费征收管理实施意见（征求意见稿）》。现向社会公开并征求各单位、个人的意见，以便进一步完善此实施意见。</w:t>
      </w:r>
    </w:p>
    <w:p>
      <w:pPr>
        <w:spacing w:line="520" w:lineRule="exact"/>
        <w:rPr>
          <w:rFonts w:ascii="仿宋" w:hAnsi="仿宋" w:eastAsia="仿宋"/>
          <w:sz w:val="32"/>
          <w:szCs w:val="32"/>
        </w:rPr>
      </w:pPr>
      <w:r>
        <w:rPr>
          <w:rFonts w:hint="eastAsia" w:ascii="仿宋" w:hAnsi="仿宋" w:eastAsia="仿宋"/>
          <w:sz w:val="32"/>
          <w:szCs w:val="32"/>
        </w:rPr>
        <w:t>　　征求意见时间：2018年7月30日-8月10日。</w:t>
      </w:r>
    </w:p>
    <w:p>
      <w:pPr>
        <w:spacing w:line="520" w:lineRule="exact"/>
        <w:ind w:firstLine="645"/>
        <w:rPr>
          <w:rFonts w:ascii="仿宋" w:hAnsi="仿宋" w:eastAsia="仿宋"/>
          <w:sz w:val="32"/>
          <w:szCs w:val="32"/>
        </w:rPr>
      </w:pPr>
      <w:r>
        <w:rPr>
          <w:rFonts w:hint="eastAsia" w:ascii="仿宋" w:hAnsi="仿宋" w:eastAsia="仿宋"/>
          <w:sz w:val="32"/>
          <w:szCs w:val="32"/>
        </w:rPr>
        <w:t>相关意见可通过邮寄、传真、电子邮件和书面送达等四种方式进行反馈：</w:t>
      </w:r>
    </w:p>
    <w:p>
      <w:pPr>
        <w:spacing w:line="520" w:lineRule="exact"/>
        <w:ind w:firstLine="645"/>
        <w:rPr>
          <w:rFonts w:ascii="仿宋" w:hAnsi="仿宋" w:eastAsia="仿宋"/>
          <w:sz w:val="32"/>
          <w:szCs w:val="32"/>
        </w:rPr>
      </w:pPr>
      <w:r>
        <w:rPr>
          <w:rFonts w:hint="eastAsia" w:ascii="仿宋" w:hAnsi="仿宋" w:eastAsia="仿宋"/>
          <w:sz w:val="32"/>
          <w:szCs w:val="32"/>
        </w:rPr>
        <w:t>1.邮寄地址：广州市花都区新华街公路益路14号（花都区卫生和计划生育局），邮政编码：510800；</w:t>
      </w:r>
    </w:p>
    <w:p>
      <w:pPr>
        <w:spacing w:line="520" w:lineRule="exact"/>
        <w:ind w:firstLine="645"/>
        <w:rPr>
          <w:rFonts w:ascii="仿宋" w:hAnsi="仿宋" w:eastAsia="仿宋"/>
          <w:sz w:val="32"/>
          <w:szCs w:val="32"/>
        </w:rPr>
      </w:pPr>
      <w:r>
        <w:rPr>
          <w:rFonts w:hint="eastAsia" w:ascii="仿宋" w:hAnsi="仿宋" w:eastAsia="仿宋"/>
          <w:sz w:val="32"/>
          <w:szCs w:val="32"/>
        </w:rPr>
        <w:t>2.传真电话：020－36990523；</w:t>
      </w:r>
    </w:p>
    <w:p>
      <w:pPr>
        <w:spacing w:line="520" w:lineRule="exact"/>
        <w:ind w:firstLine="645"/>
        <w:rPr>
          <w:rFonts w:ascii="仿宋" w:hAnsi="仿宋" w:eastAsia="仿宋"/>
          <w:sz w:val="32"/>
          <w:szCs w:val="32"/>
        </w:rPr>
      </w:pPr>
      <w:r>
        <w:rPr>
          <w:rFonts w:hint="eastAsia" w:ascii="仿宋" w:hAnsi="仿宋" w:eastAsia="仿宋"/>
          <w:sz w:val="32"/>
          <w:szCs w:val="32"/>
        </w:rPr>
        <w:t>3.电子邮件：</w:t>
      </w:r>
      <w:r>
        <w:fldChar w:fldCharType="begin"/>
      </w:r>
      <w:r>
        <w:instrText xml:space="preserve"> HYPERLINK "mailto:hdqxfb@163.com" </w:instrText>
      </w:r>
      <w:r>
        <w:fldChar w:fldCharType="separate"/>
      </w:r>
      <w:r>
        <w:rPr>
          <w:rStyle w:val="5"/>
          <w:rFonts w:hint="eastAsia" w:asciiTheme="minorEastAsia" w:hAnsiTheme="minorEastAsia"/>
          <w:sz w:val="32"/>
          <w:szCs w:val="32"/>
        </w:rPr>
        <w:t>hdqxfb@163.com</w:t>
      </w:r>
      <w:r>
        <w:rPr>
          <w:rStyle w:val="5"/>
          <w:rFonts w:hint="eastAsia" w:asciiTheme="minorEastAsia" w:hAnsiTheme="minorEastAsia"/>
          <w:sz w:val="32"/>
          <w:szCs w:val="32"/>
        </w:rPr>
        <w:fldChar w:fldCharType="end"/>
      </w:r>
      <w:r>
        <w:rPr>
          <w:rFonts w:hint="eastAsia" w:asciiTheme="minorEastAsia" w:hAnsiTheme="minorEastAsia"/>
          <w:sz w:val="32"/>
          <w:szCs w:val="32"/>
        </w:rPr>
        <w:t>;</w:t>
      </w:r>
    </w:p>
    <w:p>
      <w:pPr>
        <w:spacing w:line="520" w:lineRule="exact"/>
        <w:ind w:firstLine="645"/>
        <w:rPr>
          <w:rFonts w:ascii="仿宋" w:hAnsi="仿宋" w:eastAsia="仿宋"/>
          <w:sz w:val="32"/>
          <w:szCs w:val="32"/>
        </w:rPr>
      </w:pPr>
      <w:r>
        <w:rPr>
          <w:rFonts w:hint="eastAsia" w:ascii="仿宋" w:hAnsi="仿宋" w:eastAsia="仿宋"/>
          <w:sz w:val="32"/>
          <w:szCs w:val="32"/>
        </w:rPr>
        <w:t>4.书面送达：广州市花都区卫生和计划生育局（卫生综合大楼6楼）</w:t>
      </w:r>
    </w:p>
    <w:p>
      <w:pPr>
        <w:spacing w:line="520" w:lineRule="exact"/>
        <w:ind w:firstLine="645"/>
        <w:rPr>
          <w:rFonts w:ascii="仿宋" w:hAnsi="仿宋" w:eastAsia="仿宋"/>
          <w:sz w:val="32"/>
          <w:szCs w:val="32"/>
        </w:rPr>
      </w:pPr>
    </w:p>
    <w:p>
      <w:pPr>
        <w:spacing w:line="520" w:lineRule="exact"/>
        <w:rPr>
          <w:rFonts w:ascii="仿宋" w:hAnsi="仿宋" w:eastAsia="仿宋"/>
          <w:spacing w:val="-20"/>
          <w:sz w:val="32"/>
          <w:szCs w:val="32"/>
        </w:rPr>
      </w:pPr>
      <w:r>
        <w:rPr>
          <w:rFonts w:hint="eastAsia" w:ascii="仿宋" w:hAnsi="仿宋" w:eastAsia="仿宋"/>
          <w:sz w:val="32"/>
          <w:szCs w:val="32"/>
        </w:rPr>
        <w:t>　　附件：</w:t>
      </w:r>
      <w:r>
        <w:rPr>
          <w:rFonts w:hint="eastAsia" w:ascii="仿宋" w:hAnsi="仿宋" w:eastAsia="仿宋"/>
          <w:spacing w:val="-20"/>
          <w:sz w:val="32"/>
          <w:szCs w:val="32"/>
        </w:rPr>
        <w:t>1、花都区社会抚养费征收管理实施意见 (征求意见稿)</w:t>
      </w:r>
    </w:p>
    <w:p>
      <w:pPr>
        <w:spacing w:line="520" w:lineRule="exact"/>
        <w:rPr>
          <w:rFonts w:ascii="仿宋" w:hAnsi="仿宋" w:eastAsia="仿宋"/>
          <w:sz w:val="32"/>
          <w:szCs w:val="32"/>
        </w:rPr>
      </w:pPr>
      <w:r>
        <w:rPr>
          <w:rFonts w:hint="eastAsia" w:ascii="仿宋" w:hAnsi="仿宋" w:eastAsia="仿宋"/>
          <w:sz w:val="32"/>
          <w:szCs w:val="32"/>
        </w:rPr>
        <w:t>　　　　　2、2018年花都区社会抚养费征收标准</w:t>
      </w:r>
    </w:p>
    <w:p>
      <w:pPr>
        <w:spacing w:line="520" w:lineRule="exact"/>
        <w:rPr>
          <w:rFonts w:ascii="仿宋" w:hAnsi="仿宋" w:eastAsia="仿宋"/>
          <w:sz w:val="32"/>
          <w:szCs w:val="32"/>
        </w:rPr>
      </w:pPr>
      <w:r>
        <w:rPr>
          <w:rFonts w:hint="eastAsia" w:ascii="仿宋" w:hAnsi="仿宋" w:eastAsia="仿宋"/>
          <w:sz w:val="32"/>
          <w:szCs w:val="32"/>
        </w:rPr>
        <w:t>　　　　　　　　</w:t>
      </w:r>
    </w:p>
    <w:p>
      <w:pPr>
        <w:spacing w:line="520" w:lineRule="exact"/>
        <w:rPr>
          <w:rFonts w:ascii="仿宋" w:hAnsi="仿宋" w:eastAsia="仿宋"/>
          <w:sz w:val="32"/>
          <w:szCs w:val="32"/>
        </w:rPr>
      </w:pPr>
      <w:r>
        <w:rPr>
          <w:rFonts w:hint="eastAsia" w:ascii="仿宋" w:hAnsi="仿宋" w:eastAsia="仿宋"/>
          <w:sz w:val="32"/>
          <w:szCs w:val="32"/>
        </w:rPr>
        <w:t>　　                      花都区卫生和计划生育局</w:t>
      </w:r>
    </w:p>
    <w:p>
      <w:pPr>
        <w:spacing w:line="520" w:lineRule="exact"/>
        <w:rPr>
          <w:rFonts w:ascii="仿宋" w:hAnsi="仿宋" w:eastAsia="仿宋"/>
          <w:sz w:val="32"/>
          <w:szCs w:val="32"/>
        </w:rPr>
      </w:pPr>
      <w:r>
        <w:rPr>
          <w:rFonts w:hint="eastAsia" w:ascii="仿宋" w:hAnsi="仿宋" w:eastAsia="仿宋"/>
          <w:sz w:val="32"/>
          <w:szCs w:val="32"/>
        </w:rPr>
        <w:t>　　                         2018年7月25日</w:t>
      </w:r>
    </w:p>
    <w:p>
      <w:pPr>
        <w:jc w:val="left"/>
        <w:rPr>
          <w:rFonts w:ascii="仿宋" w:hAnsi="仿宋" w:eastAsia="仿宋" w:cs="仿宋"/>
          <w:sz w:val="32"/>
          <w:szCs w:val="32"/>
        </w:rPr>
      </w:pPr>
      <w:r>
        <w:rPr>
          <w:rFonts w:hint="eastAsia" w:ascii="仿宋" w:hAnsi="仿宋" w:eastAsia="仿宋" w:cs="仿宋"/>
          <w:sz w:val="32"/>
          <w:szCs w:val="32"/>
        </w:rPr>
        <w:t>附件1</w:t>
      </w:r>
    </w:p>
    <w:p>
      <w:pPr>
        <w:spacing w:line="56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花都区社会抚养费征收管理实施意见</w:t>
      </w:r>
    </w:p>
    <w:p>
      <w:pPr>
        <w:spacing w:line="560" w:lineRule="exact"/>
        <w:jc w:val="center"/>
        <w:rPr>
          <w:rFonts w:ascii="仿宋_GB2312" w:eastAsia="仿宋_GB2312" w:hAnsiTheme="majorEastAsia" w:cstheme="majorEastAsia"/>
          <w:bCs/>
          <w:sz w:val="32"/>
          <w:szCs w:val="32"/>
        </w:rPr>
      </w:pPr>
      <w:r>
        <w:rPr>
          <w:rFonts w:hint="eastAsia" w:ascii="仿宋_GB2312" w:eastAsia="仿宋_GB2312" w:hAnsiTheme="majorEastAsia" w:cstheme="majorEastAsia"/>
          <w:bCs/>
          <w:sz w:val="32"/>
          <w:szCs w:val="32"/>
        </w:rPr>
        <w:t>(征求意见稿)</w:t>
      </w:r>
    </w:p>
    <w:p>
      <w:pPr>
        <w:spacing w:line="560" w:lineRule="exact"/>
        <w:jc w:val="center"/>
        <w:rPr>
          <w:rFonts w:ascii="仿宋_GB2312" w:eastAsia="仿宋_GB2312" w:hAnsiTheme="majorEastAsia" w:cstheme="majorEastAsia"/>
          <w:bCs/>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切实加强我区社会抚养费的征收管理，根据《中华人民共和国人口与计划生育法》、《社会抚养费征收管理办法》、《广东省人口与计划生育条例》以及省、市社会抚养费征收的有关文件规定，结合我区实际，制定本实施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城镇居民超生一个子女的，对夫妻双方分别按上年全区城镇居民（常住居民）人均可支配收入额为基数，一次性征收三倍的社会抚养费；超生二个以上子女的，以超生一个子女应征收的社会抚养费为基数，按超生子女数为倍数征收社会抚养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农村居民超生一个子女的，对夫妻双方分别按上年全区农村居民（常住居民）人均可支配收入额为基数，一次性征收三倍的社会抚养费；超生二个以上子女的，以超生一个子女应征收的社会抚养费为基数，按超生子女数为倍数征收社会抚养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三、未办理结婚登记生育第一胎子女的，责令补办结婚登记；未办理结婚登记生育第二胎子女的，属城镇居民的， 对当事人男女双方分别按上年全区城镇居民（常住居民）人均可支配收入额为基数，一次性征收二倍的社会抚养费；属农村居民的，对当事人男女双方分别按上年全区农村居民</w:t>
      </w:r>
    </w:p>
    <w:p>
      <w:pPr>
        <w:spacing w:line="560" w:lineRule="exact"/>
        <w:rPr>
          <w:rFonts w:ascii="仿宋" w:hAnsi="仿宋" w:eastAsia="仿宋" w:cs="仿宋"/>
          <w:sz w:val="32"/>
          <w:szCs w:val="32"/>
        </w:rPr>
      </w:pPr>
      <w:r>
        <w:rPr>
          <w:rFonts w:hint="eastAsia" w:ascii="仿宋" w:hAnsi="仿宋" w:eastAsia="仿宋" w:cs="仿宋"/>
          <w:sz w:val="32"/>
          <w:szCs w:val="32"/>
        </w:rPr>
        <w:t>（常住居民）人均可支配收入额为基数，一次性征收二倍的社会抚养费；未办理结婚登记生育第三胎以上子女的，按第</w:t>
      </w:r>
    </w:p>
    <w:p>
      <w:pPr>
        <w:spacing w:line="560" w:lineRule="exact"/>
        <w:rPr>
          <w:rFonts w:ascii="仿宋" w:hAnsi="仿宋" w:eastAsia="仿宋" w:cs="仿宋"/>
          <w:sz w:val="32"/>
          <w:szCs w:val="32"/>
        </w:rPr>
      </w:pPr>
      <w:r>
        <w:rPr>
          <w:rFonts w:hint="eastAsia" w:ascii="仿宋" w:hAnsi="仿宋" w:eastAsia="仿宋" w:cs="仿宋"/>
          <w:sz w:val="32"/>
          <w:szCs w:val="32"/>
        </w:rPr>
        <w:t>一、二项的标准征收社会抚养费。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有配偶又与他人生育的，属城镇居民的，对当事人男女双方分别按上年全区城镇居民（常住居民）人均可支配收入额为基数，一次性征收六倍的社会抚养费；属农村居民的，对当事人男女双方分别按按上年全区农村居民（常住居民）人均可支配收入额为基数，一次性征收六倍的社会抚养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五、符合法律、法规规定再生育条件，但未经审批而怀孕的，应当补办审批手续；生育时仍未补办审批手续的，对夫妻双方分别按一、二项的计算基数征收百分之二的社会抚养费。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六、当事人一次缴纳社会抚养费确有实际困难的，应按规定向作出征收决定的单位提出分期缴纳申请，分期缴纳期限不得超过三年，但首期缴纳金额不得低于 30％。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七、当事人未主动缴纳社会抚养费的，自征收决定生效之日起每月加收欠缴费用 2‰滞纳金，滞纳金不超过本金。当事人在法定期限内不申请行政复议或者提起行政诉讼，又不履行征收决定的，自期限届满之日起 3 个月内，由作出征收决定的卫生和计划生育行政部门依法向人民法院申请强制执行。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八、本《实施意见》自 2016 年 1 月 1 日起施行，有效期五年。有效期届满或政策法规依据变化的，根据实施情况依法评估修订。</w:t>
      </w:r>
    </w:p>
    <w:p>
      <w:pPr>
        <w:widowControl/>
        <w:jc w:val="left"/>
        <w:rPr>
          <w:rFonts w:ascii="仿宋" w:hAnsi="仿宋" w:eastAsia="仿宋" w:cs="仿宋"/>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3884"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4"/>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884" w:type="dxa"/>
            <w:tcBorders>
              <w:left w:val="nil"/>
              <w:bottom w:val="nil"/>
              <w:right w:val="nil"/>
            </w:tcBorders>
            <w:shd w:val="clear" w:color="auto" w:fill="auto"/>
            <w:vAlign w:val="center"/>
          </w:tcPr>
          <w:p>
            <w:pPr>
              <w:widowControl/>
              <w:tabs>
                <w:tab w:val="left" w:pos="1774"/>
              </w:tabs>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附件2</w:t>
            </w:r>
            <w:r>
              <w:rPr>
                <w:rFonts w:hint="eastAsia" w:ascii="仿宋" w:hAnsi="仿宋" w:eastAsia="仿宋" w:cs="仿宋"/>
                <w:kern w:val="0"/>
                <w:sz w:val="32"/>
                <w:szCs w:val="32"/>
                <w:lang w:eastAsia="zh-CN"/>
              </w:rPr>
              <w:tab/>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花都区2018年社会抚养费征收标准</w:t>
            </w:r>
            <w:r>
              <w:rPr>
                <w:rFonts w:hint="eastAsia" w:ascii="方正小标宋简体" w:hAnsi="宋体" w:eastAsia="方正小标宋简体" w:cs="宋体"/>
                <w:kern w:val="0"/>
                <w:sz w:val="36"/>
                <w:szCs w:val="36"/>
                <w:lang w:eastAsia="zh-CN"/>
              </w:rPr>
              <w:t>一览</w:t>
            </w:r>
            <w:r>
              <w:rPr>
                <w:rFonts w:hint="eastAsia" w:ascii="方正小标宋简体" w:hAnsi="宋体" w:eastAsia="方正小标宋简体" w:cs="宋体"/>
                <w:kern w:val="0"/>
                <w:sz w:val="36"/>
                <w:szCs w:val="36"/>
              </w:rPr>
              <w:t>表</w:t>
            </w:r>
          </w:p>
        </w:tc>
      </w:tr>
    </w:tbl>
    <w:p/>
    <w:tbl>
      <w:tblPr>
        <w:tblStyle w:val="6"/>
        <w:tblW w:w="13884"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447"/>
        <w:gridCol w:w="1815"/>
        <w:gridCol w:w="2445"/>
        <w:gridCol w:w="2910"/>
        <w:gridCol w:w="324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027" w:type="dxa"/>
            <w:vMerge w:val="restart"/>
            <w:tcBorders>
              <w:top w:val="single" w:color="auto" w:sz="4" w:space="0"/>
            </w:tcBorders>
            <w:shd w:val="clear" w:color="auto" w:fill="auto"/>
            <w:vAlign w:val="center"/>
          </w:tcPr>
          <w:p>
            <w:p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kern w:val="0"/>
                <w:sz w:val="24"/>
                <w:szCs w:val="24"/>
                <w:lang w:val="en-US" w:eastAsia="zh-CN" w:bidi="ar-SA"/>
              </w:rPr>
              <w:t>城镇居民社会抚养费征收标准计算</w:t>
            </w:r>
          </w:p>
        </w:tc>
        <w:tc>
          <w:tcPr>
            <w:tcW w:w="2447" w:type="dxa"/>
            <w:vMerge w:val="restart"/>
            <w:tcBorders>
              <w:top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2017年城镇居民（常住居民）人均可支配收入（</w:t>
            </w:r>
            <w:r>
              <w:rPr>
                <w:rFonts w:hint="eastAsia" w:asciiTheme="minorEastAsia" w:hAnsiTheme="minorEastAsia" w:eastAsiaTheme="minorEastAsia" w:cstheme="minorEastAsia"/>
                <w:kern w:val="0"/>
                <w:sz w:val="24"/>
                <w:lang w:eastAsia="zh-CN"/>
              </w:rPr>
              <w:t>单位：</w:t>
            </w:r>
            <w:r>
              <w:rPr>
                <w:rFonts w:hint="eastAsia" w:asciiTheme="minorEastAsia" w:hAnsiTheme="minorEastAsia" w:eastAsiaTheme="minorEastAsia" w:cstheme="minorEastAsia"/>
                <w:kern w:val="0"/>
                <w:sz w:val="24"/>
              </w:rPr>
              <w:t>元）</w:t>
            </w:r>
          </w:p>
        </w:tc>
        <w:tc>
          <w:tcPr>
            <w:tcW w:w="1815" w:type="dxa"/>
            <w:tcBorders>
              <w:top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超生一个子女</w:t>
            </w:r>
          </w:p>
        </w:tc>
        <w:tc>
          <w:tcPr>
            <w:tcW w:w="2445" w:type="dxa"/>
            <w:tcBorders>
              <w:top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未办理结婚登记</w:t>
            </w:r>
          </w:p>
          <w:p>
            <w:pPr>
              <w:widowControl/>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生育第二胎子女</w:t>
            </w:r>
          </w:p>
        </w:tc>
        <w:tc>
          <w:tcPr>
            <w:tcW w:w="2910" w:type="dxa"/>
            <w:tcBorders>
              <w:top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有配偶又与他人生育的</w:t>
            </w:r>
          </w:p>
        </w:tc>
        <w:tc>
          <w:tcPr>
            <w:tcW w:w="3240" w:type="dxa"/>
            <w:tcBorders>
              <w:top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未办理审批手续再生育的</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shd w:val="clear" w:color="auto" w:fill="auto"/>
            <w:vAlign w:val="center"/>
          </w:tcPr>
          <w:p>
            <w:pPr>
              <w:widowControl/>
              <w:jc w:val="left"/>
              <w:rPr>
                <w:rFonts w:hint="eastAsia" w:asciiTheme="minorEastAsia" w:hAnsiTheme="minorEastAsia" w:eastAsiaTheme="minorEastAsia" w:cstheme="minorEastAsia"/>
                <w:b/>
                <w:bCs/>
                <w:kern w:val="0"/>
                <w:sz w:val="24"/>
                <w:szCs w:val="24"/>
              </w:rPr>
            </w:pPr>
          </w:p>
        </w:tc>
        <w:tc>
          <w:tcPr>
            <w:tcW w:w="2447" w:type="dxa"/>
            <w:vMerge w:val="continue"/>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rPr>
            </w:pPr>
          </w:p>
        </w:tc>
        <w:tc>
          <w:tcPr>
            <w:tcW w:w="1815" w:type="dxa"/>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3倍</w:t>
            </w:r>
          </w:p>
        </w:tc>
        <w:tc>
          <w:tcPr>
            <w:tcW w:w="2445" w:type="dxa"/>
            <w:shd w:val="clear" w:color="auto" w:fill="auto"/>
            <w:vAlign w:val="center"/>
          </w:tcPr>
          <w:p>
            <w:pPr>
              <w:widowControl/>
              <w:spacing w:line="240" w:lineRule="exact"/>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2倍</w:t>
            </w:r>
          </w:p>
        </w:tc>
        <w:tc>
          <w:tcPr>
            <w:tcW w:w="2910" w:type="dxa"/>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6倍</w:t>
            </w:r>
          </w:p>
        </w:tc>
        <w:tc>
          <w:tcPr>
            <w:tcW w:w="3240" w:type="dxa"/>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027" w:type="dxa"/>
            <w:vMerge w:val="continue"/>
            <w:shd w:val="clear" w:color="auto" w:fill="auto"/>
            <w:vAlign w:val="center"/>
          </w:tcPr>
          <w:p>
            <w:pPr>
              <w:widowControl/>
              <w:jc w:val="left"/>
              <w:rPr>
                <w:rFonts w:hint="eastAsia" w:asciiTheme="minorEastAsia" w:hAnsiTheme="minorEastAsia" w:eastAsiaTheme="minorEastAsia" w:cstheme="minorEastAsia"/>
                <w:b/>
                <w:bCs/>
                <w:kern w:val="0"/>
                <w:sz w:val="24"/>
                <w:szCs w:val="24"/>
              </w:rPr>
            </w:pPr>
          </w:p>
        </w:tc>
        <w:tc>
          <w:tcPr>
            <w:tcW w:w="2447" w:type="dxa"/>
            <w:shd w:val="clear" w:color="auto" w:fill="auto"/>
            <w:vAlign w:val="center"/>
          </w:tcPr>
          <w:p>
            <w:pPr>
              <w:widowControl/>
              <w:jc w:val="center"/>
              <w:rPr>
                <w:rFonts w:ascii="黑体" w:hAnsi="宋体" w:eastAsia="黑体" w:cs="宋体"/>
                <w:kern w:val="0"/>
                <w:szCs w:val="21"/>
              </w:rPr>
            </w:pPr>
            <w:r>
              <w:rPr>
                <w:rFonts w:hint="eastAsia" w:asciiTheme="minorEastAsia" w:hAnsiTheme="minorEastAsia" w:eastAsiaTheme="minorEastAsia" w:cstheme="minorEastAsia"/>
                <w:kern w:val="0"/>
                <w:sz w:val="30"/>
                <w:szCs w:val="30"/>
              </w:rPr>
              <w:t>47812</w:t>
            </w:r>
          </w:p>
        </w:tc>
        <w:tc>
          <w:tcPr>
            <w:tcW w:w="1815" w:type="dxa"/>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1434</w:t>
            </w:r>
            <w:r>
              <w:rPr>
                <w:rFonts w:hint="eastAsia" w:asciiTheme="minorEastAsia" w:hAnsiTheme="minorEastAsia" w:cstheme="minorEastAsia"/>
                <w:kern w:val="0"/>
                <w:sz w:val="30"/>
                <w:szCs w:val="30"/>
                <w:lang w:val="en-US" w:eastAsia="zh-CN"/>
              </w:rPr>
              <w:t>3</w:t>
            </w:r>
            <w:r>
              <w:rPr>
                <w:rFonts w:hint="eastAsia" w:asciiTheme="minorEastAsia" w:hAnsiTheme="minorEastAsia" w:eastAsiaTheme="minorEastAsia" w:cstheme="minorEastAsia"/>
                <w:kern w:val="0"/>
                <w:sz w:val="30"/>
                <w:szCs w:val="30"/>
              </w:rPr>
              <w:t>6</w:t>
            </w:r>
          </w:p>
        </w:tc>
        <w:tc>
          <w:tcPr>
            <w:tcW w:w="2445" w:type="dxa"/>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95624</w:t>
            </w:r>
          </w:p>
        </w:tc>
        <w:tc>
          <w:tcPr>
            <w:tcW w:w="2910" w:type="dxa"/>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286872</w:t>
            </w:r>
          </w:p>
        </w:tc>
        <w:tc>
          <w:tcPr>
            <w:tcW w:w="3240" w:type="dxa"/>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956</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1027" w:type="dxa"/>
            <w:vMerge w:val="restart"/>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农村居民社会抚养费征收标准计算</w:t>
            </w:r>
          </w:p>
        </w:tc>
        <w:tc>
          <w:tcPr>
            <w:tcW w:w="2447" w:type="dxa"/>
            <w:vMerge w:val="restart"/>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2017年农村居民（常住居民）人均可支配收（</w:t>
            </w:r>
            <w:r>
              <w:rPr>
                <w:rFonts w:hint="eastAsia" w:asciiTheme="minorEastAsia" w:hAnsiTheme="minorEastAsia" w:eastAsiaTheme="minorEastAsia" w:cstheme="minorEastAsia"/>
                <w:kern w:val="0"/>
                <w:sz w:val="24"/>
                <w:lang w:eastAsia="zh-CN"/>
              </w:rPr>
              <w:t>单位：</w:t>
            </w:r>
            <w:r>
              <w:rPr>
                <w:rFonts w:hint="eastAsia" w:asciiTheme="minorEastAsia" w:hAnsiTheme="minorEastAsia" w:eastAsiaTheme="minorEastAsia" w:cstheme="minorEastAsia"/>
                <w:kern w:val="0"/>
                <w:sz w:val="24"/>
              </w:rPr>
              <w:t>元）</w:t>
            </w:r>
          </w:p>
        </w:tc>
        <w:tc>
          <w:tcPr>
            <w:tcW w:w="1815"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超生一个子女</w:t>
            </w:r>
          </w:p>
        </w:tc>
        <w:tc>
          <w:tcPr>
            <w:tcW w:w="2445" w:type="dxa"/>
            <w:tcBorders>
              <w:tl2br w:val="nil"/>
              <w:tr2bl w:val="nil"/>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未办理结婚登记</w:t>
            </w:r>
          </w:p>
          <w:p>
            <w:pPr>
              <w:widowControl/>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生育第二胎子女</w:t>
            </w:r>
          </w:p>
        </w:tc>
        <w:tc>
          <w:tcPr>
            <w:tcW w:w="291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有配偶又与他人生育的</w:t>
            </w:r>
          </w:p>
        </w:tc>
        <w:tc>
          <w:tcPr>
            <w:tcW w:w="324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未办理审批手续再生育的</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027" w:type="dxa"/>
            <w:vMerge w:val="continue"/>
            <w:tcBorders>
              <w:tl2br w:val="nil"/>
              <w:tr2bl w:val="nil"/>
            </w:tcBorders>
            <w:shd w:val="clear" w:color="auto" w:fill="auto"/>
            <w:vAlign w:val="center"/>
          </w:tcPr>
          <w:p>
            <w:pPr>
              <w:widowControl/>
              <w:jc w:val="left"/>
              <w:rPr>
                <w:rFonts w:ascii="黑体" w:hAnsi="宋体" w:eastAsia="黑体" w:cs="宋体"/>
                <w:kern w:val="0"/>
                <w:szCs w:val="21"/>
              </w:rPr>
            </w:pPr>
          </w:p>
        </w:tc>
        <w:tc>
          <w:tcPr>
            <w:tcW w:w="2447" w:type="dxa"/>
            <w:vMerge w:val="continue"/>
            <w:tcBorders>
              <w:tl2br w:val="nil"/>
              <w:tr2bl w:val="nil"/>
            </w:tcBorders>
            <w:shd w:val="clear" w:color="auto" w:fill="auto"/>
            <w:vAlign w:val="center"/>
          </w:tcPr>
          <w:p>
            <w:pPr>
              <w:widowControl/>
              <w:spacing w:line="240" w:lineRule="exact"/>
              <w:rPr>
                <w:rFonts w:hint="eastAsia" w:asciiTheme="minorEastAsia" w:hAnsiTheme="minorEastAsia" w:eastAsiaTheme="minorEastAsia" w:cstheme="minorEastAsia"/>
                <w:kern w:val="0"/>
                <w:sz w:val="24"/>
              </w:rPr>
            </w:pPr>
          </w:p>
        </w:tc>
        <w:tc>
          <w:tcPr>
            <w:tcW w:w="1815"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3倍</w:t>
            </w:r>
          </w:p>
        </w:tc>
        <w:tc>
          <w:tcPr>
            <w:tcW w:w="2445"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2倍</w:t>
            </w:r>
          </w:p>
        </w:tc>
        <w:tc>
          <w:tcPr>
            <w:tcW w:w="291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6倍</w:t>
            </w:r>
          </w:p>
        </w:tc>
        <w:tc>
          <w:tcPr>
            <w:tcW w:w="324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27" w:type="dxa"/>
            <w:vMerge w:val="continue"/>
            <w:tcBorders>
              <w:tl2br w:val="nil"/>
              <w:tr2bl w:val="nil"/>
            </w:tcBorders>
            <w:shd w:val="clear" w:color="auto" w:fill="auto"/>
            <w:vAlign w:val="center"/>
          </w:tcPr>
          <w:p>
            <w:pPr>
              <w:widowControl/>
              <w:jc w:val="left"/>
              <w:rPr>
                <w:rFonts w:ascii="黑体" w:hAnsi="宋体" w:eastAsia="黑体" w:cs="宋体"/>
                <w:kern w:val="0"/>
                <w:szCs w:val="21"/>
              </w:rPr>
            </w:pPr>
          </w:p>
        </w:tc>
        <w:tc>
          <w:tcPr>
            <w:tcW w:w="2447" w:type="dxa"/>
            <w:tcBorders>
              <w:tl2br w:val="nil"/>
              <w:tr2bl w:val="nil"/>
            </w:tcBorders>
            <w:shd w:val="clear" w:color="auto" w:fill="auto"/>
            <w:vAlign w:val="center"/>
          </w:tcPr>
          <w:p>
            <w:pPr>
              <w:widowControl/>
              <w:jc w:val="center"/>
              <w:rPr>
                <w:rFonts w:ascii="华文仿宋" w:hAnsi="华文仿宋" w:eastAsia="华文仿宋" w:cs="宋体"/>
                <w:kern w:val="0"/>
                <w:sz w:val="24"/>
              </w:rPr>
            </w:pPr>
            <w:r>
              <w:rPr>
                <w:rFonts w:hint="eastAsia" w:asciiTheme="minorEastAsia" w:hAnsiTheme="minorEastAsia" w:eastAsiaTheme="minorEastAsia" w:cstheme="minorEastAsia"/>
                <w:kern w:val="0"/>
                <w:sz w:val="30"/>
                <w:szCs w:val="30"/>
              </w:rPr>
              <w:t>22968</w:t>
            </w:r>
          </w:p>
        </w:tc>
        <w:tc>
          <w:tcPr>
            <w:tcW w:w="1815"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68904</w:t>
            </w:r>
          </w:p>
        </w:tc>
        <w:tc>
          <w:tcPr>
            <w:tcW w:w="2445"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45936</w:t>
            </w:r>
          </w:p>
        </w:tc>
        <w:tc>
          <w:tcPr>
            <w:tcW w:w="291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rPr>
              <w:t>137</w:t>
            </w:r>
            <w:r>
              <w:rPr>
                <w:rFonts w:hint="eastAsia" w:asciiTheme="minorEastAsia" w:hAnsiTheme="minorEastAsia" w:cstheme="minorEastAsia"/>
                <w:kern w:val="0"/>
                <w:sz w:val="30"/>
                <w:szCs w:val="30"/>
                <w:lang w:val="en-US" w:eastAsia="zh-CN"/>
              </w:rPr>
              <w:t>808</w:t>
            </w:r>
          </w:p>
        </w:tc>
        <w:tc>
          <w:tcPr>
            <w:tcW w:w="324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459</w:t>
            </w:r>
          </w:p>
        </w:tc>
      </w:tr>
    </w:tbl>
    <w:p>
      <w:pPr>
        <w:rPr>
          <w:rFonts w:ascii="仿宋" w:hAnsi="仿宋" w:eastAsia="仿宋" w:cs="仿宋"/>
          <w:sz w:val="32"/>
          <w:szCs w:val="32"/>
        </w:rPr>
      </w:pPr>
    </w:p>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21FE9"/>
    <w:rsid w:val="00103D38"/>
    <w:rsid w:val="001667AF"/>
    <w:rsid w:val="00283864"/>
    <w:rsid w:val="003A46AD"/>
    <w:rsid w:val="003B0B54"/>
    <w:rsid w:val="003E7EB1"/>
    <w:rsid w:val="00421C01"/>
    <w:rsid w:val="004256F8"/>
    <w:rsid w:val="004C23CF"/>
    <w:rsid w:val="00633207"/>
    <w:rsid w:val="006C1E63"/>
    <w:rsid w:val="006F62B1"/>
    <w:rsid w:val="007100A4"/>
    <w:rsid w:val="00731DAC"/>
    <w:rsid w:val="007A59E2"/>
    <w:rsid w:val="009B1677"/>
    <w:rsid w:val="00A76F6E"/>
    <w:rsid w:val="00A85581"/>
    <w:rsid w:val="00AB060F"/>
    <w:rsid w:val="00B43CBA"/>
    <w:rsid w:val="00C30B7D"/>
    <w:rsid w:val="00D104A9"/>
    <w:rsid w:val="00EA3004"/>
    <w:rsid w:val="00F2789D"/>
    <w:rsid w:val="073273AD"/>
    <w:rsid w:val="0D63417C"/>
    <w:rsid w:val="10421FE9"/>
    <w:rsid w:val="11D62D24"/>
    <w:rsid w:val="17C85F32"/>
    <w:rsid w:val="18B23B2E"/>
    <w:rsid w:val="1B683C73"/>
    <w:rsid w:val="1C8D6346"/>
    <w:rsid w:val="22194409"/>
    <w:rsid w:val="29942719"/>
    <w:rsid w:val="2CA45CC0"/>
    <w:rsid w:val="2E9A5341"/>
    <w:rsid w:val="337153A3"/>
    <w:rsid w:val="342B1E38"/>
    <w:rsid w:val="398245F8"/>
    <w:rsid w:val="3F977FA8"/>
    <w:rsid w:val="406B3925"/>
    <w:rsid w:val="4810679B"/>
    <w:rsid w:val="49702D02"/>
    <w:rsid w:val="4D1D4F6E"/>
    <w:rsid w:val="4F7E182A"/>
    <w:rsid w:val="54D510C1"/>
    <w:rsid w:val="60AF3F25"/>
    <w:rsid w:val="64705C6F"/>
    <w:rsid w:val="65D216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styleId="5">
    <w:name w:val="Hyperlink"/>
    <w:basedOn w:val="3"/>
    <w:uiPriority w:val="0"/>
    <w:rPr>
      <w:color w:val="0563C1" w:themeColor="hyperlink"/>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Lenovo</Company>
  <Pages>4</Pages>
  <Words>281</Words>
  <Characters>1602</Characters>
  <Lines>13</Lines>
  <Paragraphs>3</Paragraphs>
  <TotalTime>125</TotalTime>
  <ScaleCrop>false</ScaleCrop>
  <LinksUpToDate>false</LinksUpToDate>
  <CharactersWithSpaces>1880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2018-07-24T01:16:00Z</dcterms:created>
  <dc:creator>lenovo</dc:creator>
  <cp:lastModifiedBy>刘大宝</cp:lastModifiedBy>
  <cp:lastPrinted>2018-07-24T07:06:00Z</cp:lastPrinted>
  <dcterms:modified xsi:type="dcterms:W3CDTF">2018-07-26T08:59:34Z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