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ind w:left="0" w:leftChars="0" w:right="0" w:firstLine="0" w:firstLineChars="0"/>
        <w:jc w:val="center"/>
        <w:rPr>
          <w:rFonts w:hint="eastAsia" w:ascii="宋体" w:hAnsi="宋体" w:eastAsia="宋体" w:cs="宋体"/>
          <w:b/>
          <w:kern w:val="2"/>
          <w:sz w:val="44"/>
          <w:szCs w:val="44"/>
          <w:lang w:val="en-US" w:eastAsia="zh-CN" w:bidi="ar"/>
        </w:rPr>
      </w:pPr>
      <w:bookmarkStart w:id="0" w:name="_Toc18998887"/>
      <w:bookmarkStart w:id="1" w:name="_Toc19046264"/>
      <w:bookmarkStart w:id="2" w:name="_Toc14769804"/>
      <w:r>
        <w:rPr>
          <w:rFonts w:hint="eastAsia" w:ascii="宋体" w:hAnsi="宋体" w:eastAsia="宋体" w:cs="宋体"/>
          <w:b/>
          <w:kern w:val="2"/>
          <w:sz w:val="44"/>
          <w:szCs w:val="44"/>
          <w:lang w:val="en-US" w:eastAsia="zh-CN" w:bidi="ar"/>
        </w:rPr>
        <w:t>广州市花都区司法局2018年度部门整体绩效评价简要报告</w:t>
      </w:r>
    </w:p>
    <w:p>
      <w:pPr>
        <w:pStyle w:val="3"/>
        <w:spacing w:line="240" w:lineRule="auto"/>
        <w:ind w:firstLine="0" w:firstLineChars="0"/>
        <w:jc w:val="center"/>
        <w:rPr>
          <w:rFonts w:hint="eastAsia" w:eastAsia="仿宋_GB2312"/>
          <w:bCs w:val="0"/>
          <w:kern w:val="2"/>
          <w:sz w:val="32"/>
          <w:szCs w:val="24"/>
          <w:lang w:val="en-US" w:eastAsia="zh-CN" w:bidi="ar-SA"/>
        </w:rPr>
      </w:pPr>
      <w:r>
        <w:rPr>
          <w:rFonts w:hint="eastAsia" w:eastAsia="仿宋_GB2312"/>
          <w:bCs w:val="0"/>
          <w:kern w:val="2"/>
          <w:sz w:val="32"/>
          <w:szCs w:val="24"/>
          <w:lang w:val="en-US" w:eastAsia="zh-CN" w:bidi="ar-SA"/>
        </w:rPr>
        <w:t>致同会计师事务所（特殊普通合伙）广州分所</w:t>
      </w:r>
    </w:p>
    <w:p>
      <w:bookmarkStart w:id="42" w:name="_GoBack"/>
      <w:bookmarkEnd w:id="42"/>
    </w:p>
    <w:p>
      <w:pPr>
        <w:pStyle w:val="3"/>
        <w:ind w:left="0" w:leftChars="0" w:firstLine="0" w:firstLineChars="0"/>
      </w:pPr>
      <w:r>
        <w:t>一、</w:t>
      </w:r>
      <w:r>
        <w:rPr>
          <w:rFonts w:hint="eastAsia"/>
        </w:rPr>
        <w:t>评价</w:t>
      </w:r>
      <w:r>
        <w:t>概况</w:t>
      </w:r>
      <w:bookmarkEnd w:id="0"/>
      <w:bookmarkEnd w:id="1"/>
      <w:bookmarkEnd w:id="2"/>
    </w:p>
    <w:p>
      <w:pPr>
        <w:ind w:firstLine="640"/>
      </w:pPr>
      <w:r>
        <w:t>广州市花都区司法局2018年部门</w:t>
      </w:r>
      <w:r>
        <w:rPr>
          <w:rFonts w:hint="eastAsia"/>
        </w:rPr>
        <w:t>整体</w:t>
      </w:r>
      <w:r>
        <w:t>年初预算数2,692.65万元；调整预算数3,314.90万元，决算数3,310.89万元，</w:t>
      </w:r>
      <w:r>
        <w:rPr>
          <w:rFonts w:hint="eastAsia"/>
        </w:rPr>
        <w:t>年度</w:t>
      </w:r>
      <w:r>
        <w:t>预算完成率99.88%</w:t>
      </w:r>
      <w:r>
        <w:rPr>
          <w:rFonts w:hint="eastAsia"/>
        </w:rPr>
        <w:t>。</w:t>
      </w:r>
      <w:r>
        <w:t>区司法局纳入部门管理的单位共2个</w:t>
      </w:r>
      <w:r>
        <w:rPr>
          <w:rFonts w:hint="eastAsia"/>
        </w:rPr>
        <w:t>；</w:t>
      </w:r>
      <w:r>
        <w:t>内设6个机构</w:t>
      </w:r>
      <w:r>
        <w:rPr>
          <w:rFonts w:hint="eastAsia"/>
        </w:rPr>
        <w:t>，均纳入2018年部门预算编制范围。2018年总编制人数</w:t>
      </w:r>
      <w:r>
        <w:t>22</w:t>
      </w:r>
      <w:r>
        <w:rPr>
          <w:rFonts w:hint="eastAsia"/>
        </w:rPr>
        <w:t>人，</w:t>
      </w:r>
      <w:r>
        <w:t>实际在编人数25人</w:t>
      </w:r>
      <w:r>
        <w:rPr>
          <w:rFonts w:hint="eastAsia"/>
        </w:rPr>
        <w:t>，占总编制计划人数的113.64%。2018年度，</w:t>
      </w:r>
      <w:r>
        <w:t>区司法局</w:t>
      </w:r>
      <w:r>
        <w:rPr>
          <w:rFonts w:hint="eastAsia" w:ascii="仿宋_GB2312" w:hAnsi="仿宋_GB2312" w:cs="仿宋_GB2312"/>
          <w:szCs w:val="32"/>
        </w:rPr>
        <w:t>紧紧围绕</w:t>
      </w:r>
      <w:r>
        <w:rPr>
          <w:rFonts w:hint="eastAsia"/>
        </w:rPr>
        <w:t>“</w:t>
      </w:r>
      <w:r>
        <w:rPr>
          <w:rFonts w:hint="eastAsia" w:ascii="仿宋_GB2312" w:hAnsi="仿宋_GB2312" w:cs="仿宋_GB2312"/>
          <w:szCs w:val="32"/>
        </w:rPr>
        <w:t>平安花都、法治花都建设</w:t>
      </w:r>
      <w:r>
        <w:rPr>
          <w:rFonts w:hint="eastAsia"/>
        </w:rPr>
        <w:t>”重点工作，具体落实六项支出计划任务，设定了与部门整体履职用财的关联目标，目标已基本实现，推动</w:t>
      </w:r>
      <w:r>
        <w:rPr>
          <w:rFonts w:hint="eastAsia" w:ascii="仿宋_GB2312" w:hAnsi="仿宋_GB2312" w:cs="仿宋_GB2312"/>
          <w:szCs w:val="32"/>
        </w:rPr>
        <w:t>探索创新司法行政工作机制，提高司法行政工作水平</w:t>
      </w:r>
      <w:r>
        <w:rPr>
          <w:rFonts w:hint="eastAsia"/>
        </w:rPr>
        <w:t>。</w:t>
      </w:r>
    </w:p>
    <w:p>
      <w:pPr>
        <w:ind w:firstLine="640"/>
      </w:pPr>
      <w:r>
        <w:rPr>
          <w:rFonts w:hint="eastAsia"/>
        </w:rPr>
        <w:t>本次评价</w:t>
      </w:r>
      <w:r>
        <w:t>采用目标预定与实施效果比较法、专家评议法、现场核查法</w:t>
      </w:r>
      <w:r>
        <w:rPr>
          <w:rFonts w:hint="eastAsia"/>
        </w:rPr>
        <w:t>等方法，围绕</w:t>
      </w:r>
      <w:r>
        <w:t>预算资金管理</w:t>
      </w:r>
      <w:r>
        <w:rPr>
          <w:rFonts w:hint="eastAsia"/>
        </w:rPr>
        <w:t>、绩效管理、资产管理、产出、效益等方面实施绩效评价。经综合评定，</w:t>
      </w:r>
      <w:r>
        <w:t>区司法局</w:t>
      </w:r>
      <w:r>
        <w:rPr>
          <w:rFonts w:hint="eastAsia"/>
        </w:rPr>
        <w:t>2018年部门整体支出绩效评价综合得分92.13</w:t>
      </w:r>
      <w:r>
        <w:t>分，绩效等级为“</w:t>
      </w:r>
      <w:r>
        <w:rPr>
          <w:rFonts w:hint="eastAsia"/>
        </w:rPr>
        <w:t>优</w:t>
      </w:r>
      <w:r>
        <w:t>”</w:t>
      </w:r>
      <w:r>
        <w:rPr>
          <w:rFonts w:hint="eastAsia"/>
        </w:rPr>
        <w:t>。</w:t>
      </w:r>
    </w:p>
    <w:p>
      <w:pPr>
        <w:pStyle w:val="3"/>
        <w:ind w:firstLine="640"/>
      </w:pPr>
      <w:bookmarkStart w:id="3" w:name="_Toc18967742"/>
      <w:r>
        <w:t>二、绩效</w:t>
      </w:r>
      <w:bookmarkEnd w:id="3"/>
      <w:r>
        <w:rPr>
          <w:rFonts w:hint="eastAsia"/>
        </w:rPr>
        <w:t>目标</w:t>
      </w:r>
    </w:p>
    <w:p>
      <w:pPr>
        <w:pStyle w:val="4"/>
        <w:ind w:firstLine="640"/>
        <w:rPr>
          <w:rFonts w:cs="Times New Roman"/>
        </w:rPr>
      </w:pPr>
      <w:bookmarkStart w:id="4" w:name="_Toc18967743"/>
      <w:bookmarkStart w:id="5" w:name="_Toc14770314"/>
      <w:r>
        <w:rPr>
          <w:rFonts w:cs="Times New Roman"/>
        </w:rPr>
        <w:t>（一）</w:t>
      </w:r>
      <w:bookmarkEnd w:id="4"/>
      <w:r>
        <w:rPr>
          <w:rFonts w:hint="eastAsia" w:cs="Times New Roman"/>
        </w:rPr>
        <w:t>目标设置</w:t>
      </w:r>
    </w:p>
    <w:p>
      <w:pPr>
        <w:ind w:firstLine="640"/>
      </w:pPr>
      <w:r>
        <w:rPr>
          <w:rFonts w:hint="eastAsia"/>
        </w:rPr>
        <w:t>根据</w:t>
      </w:r>
      <w:r>
        <w:t>区司法局</w:t>
      </w:r>
      <w:r>
        <w:rPr>
          <w:rFonts w:hint="eastAsia"/>
        </w:rPr>
        <w:t>2018年度《部门整体支出绩效目标申报表》，该部门按年度支出计划任务设置了6项年度绩效目标和90个指标，其中产出指标70个，效益指标20个，基本做到关联性强、个性化、细化、可衡量。但存在：“</w:t>
      </w:r>
      <w:r>
        <w:t>个别共性指标设置过多，且设置的绩效指标不能完全覆盖绩效目标</w:t>
      </w:r>
      <w:r>
        <w:rPr>
          <w:rFonts w:hint="eastAsia"/>
        </w:rPr>
        <w:t>；</w:t>
      </w:r>
      <w:r>
        <w:t>绩效目标设置未能充分体现部门监管职能，未能突出核心工作产出指标和效果指标的设置及考核</w:t>
      </w:r>
      <w:r>
        <w:rPr>
          <w:rFonts w:hint="eastAsia"/>
        </w:rPr>
        <w:t>”等问题。</w:t>
      </w:r>
      <w:bookmarkEnd w:id="5"/>
    </w:p>
    <w:p>
      <w:pPr>
        <w:pStyle w:val="4"/>
        <w:ind w:firstLine="640"/>
        <w:rPr>
          <w:rFonts w:cs="Times New Roman"/>
        </w:rPr>
      </w:pPr>
      <w:bookmarkStart w:id="6" w:name="_Toc14770311"/>
      <w:bookmarkStart w:id="7" w:name="_Toc18967740"/>
      <w:r>
        <w:rPr>
          <w:rFonts w:cs="Times New Roman"/>
        </w:rPr>
        <w:t>（二）目标</w:t>
      </w:r>
      <w:bookmarkEnd w:id="6"/>
      <w:bookmarkEnd w:id="7"/>
      <w:r>
        <w:rPr>
          <w:rFonts w:hint="eastAsia" w:cs="Times New Roman"/>
        </w:rPr>
        <w:t>完成</w:t>
      </w:r>
    </w:p>
    <w:p>
      <w:pPr>
        <w:ind w:firstLine="640"/>
      </w:pPr>
      <w:r>
        <w:t>区司法局</w:t>
      </w:r>
      <w:r>
        <w:rPr>
          <w:rFonts w:hint="eastAsia"/>
        </w:rPr>
        <w:t>年度绩效目标共涉及六项支出计划任务、25项财政支出项目，大部分任务基本能按时完成。在部门整体年度绩效目标的框架下，90个绩效指标中有88个达到预期，达成率97.78%；另有2个因项目管理工作不到位等原因，年内未100%达预期</w:t>
      </w:r>
      <w:bookmarkStart w:id="8" w:name="_Toc14769808"/>
      <w:r>
        <w:t>。</w:t>
      </w:r>
    </w:p>
    <w:bookmarkEnd w:id="8"/>
    <w:p>
      <w:pPr>
        <w:pStyle w:val="3"/>
        <w:ind w:firstLine="640"/>
      </w:pPr>
      <w:bookmarkStart w:id="9" w:name="_Toc14769814"/>
      <w:bookmarkStart w:id="10" w:name="_Toc18998913"/>
      <w:bookmarkStart w:id="11" w:name="_Toc19046277"/>
      <w:r>
        <w:rPr>
          <w:rFonts w:hint="eastAsia"/>
        </w:rPr>
        <w:t>三</w:t>
      </w:r>
      <w:r>
        <w:t>、</w:t>
      </w:r>
      <w:r>
        <w:rPr>
          <w:rFonts w:hint="eastAsia"/>
        </w:rPr>
        <w:t>部门</w:t>
      </w:r>
      <w:r>
        <w:t>主要绩效</w:t>
      </w:r>
      <w:bookmarkEnd w:id="9"/>
      <w:bookmarkEnd w:id="10"/>
      <w:bookmarkEnd w:id="11"/>
    </w:p>
    <w:p>
      <w:pPr>
        <w:pStyle w:val="4"/>
        <w:ind w:firstLine="640"/>
        <w:rPr>
          <w:rFonts w:cs="Times New Roman"/>
        </w:rPr>
      </w:pPr>
      <w:bookmarkStart w:id="12" w:name="_Toc19046278"/>
      <w:bookmarkStart w:id="13" w:name="_Toc18998914"/>
      <w:bookmarkStart w:id="14" w:name="_Toc14769815"/>
      <w:r>
        <w:rPr>
          <w:rFonts w:cs="Times New Roman"/>
        </w:rPr>
        <w:t>（一）多措并举提升普法成效，积极推进法治体系建设</w:t>
      </w:r>
      <w:bookmarkEnd w:id="12"/>
      <w:bookmarkEnd w:id="13"/>
    </w:p>
    <w:p>
      <w:pPr>
        <w:ind w:firstLine="643"/>
      </w:pPr>
      <w:r>
        <w:rPr>
          <w:b/>
          <w:bCs/>
        </w:rPr>
        <w:t>一是</w:t>
      </w:r>
      <w:r>
        <w:t>深入开展法治宣传。花都区廉洁法治文化主题公园建成并对外开放；重点开展国家安全、乡村振兴、扫黑除恶、禁毒、防邪法治宣传主题活动，组织全区191名律师对252个村（社区）开展了禁毒知识讲座，取得了良好的社会效果。</w:t>
      </w:r>
      <w:r>
        <w:rPr>
          <w:b/>
          <w:bCs/>
        </w:rPr>
        <w:t>二是</w:t>
      </w:r>
      <w:r>
        <w:t>继续开展“民主法治村（社区）”和“法治文化建设示范企业”创建活动，已完成2018年全区90%以上村（社区）创建申报的任务。</w:t>
      </w:r>
      <w:r>
        <w:rPr>
          <w:b/>
          <w:bCs/>
        </w:rPr>
        <w:t>三是</w:t>
      </w:r>
      <w:r>
        <w:t>加快司法所规范化建设，制度标准化建设落实到位</w:t>
      </w:r>
      <w:r>
        <w:rPr>
          <w:rFonts w:hint="eastAsia"/>
        </w:rPr>
        <w:t>，</w:t>
      </w:r>
      <w:r>
        <w:t>司法局机关和各司法所</w:t>
      </w:r>
      <w:r>
        <w:rPr>
          <w:rFonts w:hint="eastAsia"/>
        </w:rPr>
        <w:t>均已</w:t>
      </w:r>
      <w:r>
        <w:t>对照有关标准</w:t>
      </w:r>
      <w:r>
        <w:rPr>
          <w:rFonts w:hint="eastAsia"/>
        </w:rPr>
        <w:t>完成</w:t>
      </w:r>
      <w:r>
        <w:t>外观标识内务规范建设。</w:t>
      </w:r>
    </w:p>
    <w:p>
      <w:pPr>
        <w:pStyle w:val="4"/>
        <w:ind w:firstLine="640"/>
        <w:rPr>
          <w:rFonts w:cs="Times New Roman"/>
        </w:rPr>
      </w:pPr>
      <w:bookmarkStart w:id="15" w:name="_Toc19046279"/>
      <w:bookmarkStart w:id="16" w:name="_Toc18998915"/>
      <w:r>
        <w:rPr>
          <w:rFonts w:cs="Times New Roman"/>
        </w:rPr>
        <w:t>（二）公共法律服务平台建设有序推进，充分发挥律师专业优势</w:t>
      </w:r>
      <w:bookmarkEnd w:id="15"/>
      <w:bookmarkEnd w:id="16"/>
    </w:p>
    <w:p>
      <w:pPr>
        <w:ind w:firstLine="643"/>
      </w:pPr>
      <w:r>
        <w:rPr>
          <w:b/>
          <w:bCs/>
        </w:rPr>
        <w:t>一是</w:t>
      </w:r>
      <w:r>
        <w:t>做好“12348”广东法网公共法律服务实体平台运行日报表数据上报工作。2018年花都区、镇（街）两级公共法律服务实体平台共接待群众来电、来访6,982宗。</w:t>
      </w:r>
      <w:r>
        <w:rPr>
          <w:b/>
          <w:bCs/>
        </w:rPr>
        <w:t>二是</w:t>
      </w:r>
      <w:r>
        <w:t>深化“一村（社区）一法律顾问”工作。花都区252个村（社区）与25家律师事务所191名律师签订了协议，村（社区）法律顾问覆盖率100%；2018年法律顾问共为村（居）提供服务5,063件/次。</w:t>
      </w:r>
      <w:r>
        <w:rPr>
          <w:b/>
          <w:bCs/>
        </w:rPr>
        <w:t>三是</w:t>
      </w:r>
      <w:r>
        <w:t>在区法院、区公共法律服务中心成立了律师调解工作室。2018年全区各级各类调解组织共调解各类矛盾纠纷4,646宗，成功化解各类矛盾纠纷4,619宗，成功率达99.41%，有效维护花都区和谐稳定。</w:t>
      </w:r>
    </w:p>
    <w:p>
      <w:pPr>
        <w:pStyle w:val="4"/>
        <w:ind w:firstLine="640"/>
        <w:rPr>
          <w:rFonts w:cs="Times New Roman"/>
        </w:rPr>
      </w:pPr>
      <w:bookmarkStart w:id="17" w:name="_Toc19046280"/>
      <w:bookmarkStart w:id="18" w:name="_Toc18998916"/>
      <w:r>
        <w:rPr>
          <w:rFonts w:cs="Times New Roman"/>
        </w:rPr>
        <w:t>（三）完善法律援助工作体系，法援工作实现新突破</w:t>
      </w:r>
      <w:bookmarkEnd w:id="17"/>
      <w:bookmarkEnd w:id="18"/>
    </w:p>
    <w:p>
      <w:pPr>
        <w:ind w:firstLine="643"/>
      </w:pPr>
      <w:r>
        <w:rPr>
          <w:b/>
        </w:rPr>
        <w:t>一是</w:t>
      </w:r>
      <w:r>
        <w:t>完善法律援助工作体系。花都区共设有21个法律援助工作站</w:t>
      </w:r>
      <w:r>
        <w:rPr>
          <w:rFonts w:hint="eastAsia"/>
        </w:rPr>
        <w:t>、</w:t>
      </w:r>
      <w:r>
        <w:t>1个法律援助联络点、252个法律援助工作点，形成了法律援助工作三级网络体系。2018年共办理法律援助案件2,063宗，为当事人挽回经济损失2,121.46万元。</w:t>
      </w:r>
      <w:r>
        <w:rPr>
          <w:b/>
        </w:rPr>
        <w:t>二是</w:t>
      </w:r>
      <w:r>
        <w:t>探索落实认罪不认罚法律援助制度。区司法局和区检察院联合发布了</w:t>
      </w:r>
      <w:r>
        <w:rPr>
          <w:rFonts w:hint="eastAsia"/>
        </w:rPr>
        <w:t>相关</w:t>
      </w:r>
      <w:r>
        <w:t>实施办法，将律师提供法律帮助的时间前置覆盖到犯罪嫌疑人自愿认罪但不认罚的阶段，促使犯罪嫌疑人签署认罪认罚具结书，进一步提高认罪认罚刑事案件比例，节约庭审资源。</w:t>
      </w:r>
      <w:r>
        <w:rPr>
          <w:b/>
        </w:rPr>
        <w:t>三是</w:t>
      </w:r>
      <w:r>
        <w:t>主动做好重点案件的跟踪处理。指派经验丰富的律师对花都区19件涉台电信诈骗案进行法律援助。通过旁听开庭、案件回访、案件质量评查等三项措施提升法律援助案件质量。</w:t>
      </w:r>
    </w:p>
    <w:p>
      <w:pPr>
        <w:pStyle w:val="4"/>
        <w:ind w:firstLine="640"/>
        <w:rPr>
          <w:rFonts w:cs="Times New Roman"/>
        </w:rPr>
      </w:pPr>
      <w:bookmarkStart w:id="19" w:name="_Toc18998917"/>
      <w:bookmarkStart w:id="20" w:name="_Toc19046281"/>
      <w:r>
        <w:rPr>
          <w:rFonts w:cs="Times New Roman"/>
        </w:rPr>
        <w:t>（四）全面践行治本安全观，持续深化司法行政执行工作</w:t>
      </w:r>
      <w:bookmarkEnd w:id="19"/>
      <w:bookmarkEnd w:id="20"/>
    </w:p>
    <w:p>
      <w:pPr>
        <w:ind w:firstLine="643"/>
      </w:pPr>
      <w:r>
        <w:rPr>
          <w:b/>
        </w:rPr>
        <w:t>一是</w:t>
      </w:r>
      <w:r>
        <w:t>严格落实社区矫正日常监督管理，做好安置及帮教工作。2018年累计接收速裁程序实施社区矫正罪犯211人，组织入矫宣告402人次，解矫宣告457人次；全区在册安置帮教对象1,702人，安置率100%</w:t>
      </w:r>
      <w:r>
        <w:rPr>
          <w:rFonts w:hint="eastAsia"/>
        </w:rPr>
        <w:t>、</w:t>
      </w:r>
      <w:r>
        <w:t>帮教率100%。</w:t>
      </w:r>
      <w:r>
        <w:rPr>
          <w:b/>
        </w:rPr>
        <w:t>二是</w:t>
      </w:r>
      <w:r>
        <w:t>强化管控措施，加强对重点人员的排查、管控、教育、帮扶力度。2018年共对全区600人次特困刑释人员和750人次社区服刑人员进行了帮扶慰问，社区服刑人员帮扶率达100%。</w:t>
      </w:r>
      <w:r>
        <w:rPr>
          <w:b/>
        </w:rPr>
        <w:t>三是</w:t>
      </w:r>
      <w:r>
        <w:t>加强对社区服刑人员的实时定位监控和</w:t>
      </w:r>
      <w:r>
        <w:rPr>
          <w:rFonts w:hint="eastAsia" w:ascii="仿宋_GB2312" w:hAnsi="仿宋_GB2312" w:cs="仿宋_GB2312"/>
          <w:bCs/>
          <w:color w:val="000000"/>
          <w:kern w:val="0"/>
          <w:szCs w:val="32"/>
        </w:rPr>
        <w:t>掌握</w:t>
      </w:r>
      <w:r>
        <w:t>生活动向</w:t>
      </w:r>
      <w:r>
        <w:rPr>
          <w:rFonts w:hint="eastAsia"/>
        </w:rPr>
        <w:t>。</w:t>
      </w:r>
      <w:r>
        <w:t>2018年共租赁电子手环326台，监控率大幅提升至91.3%，排名全市前列。建立远程视频督察系统，把社区矫正场所纳入视频监控范围，实现市、区、街（镇）的互联互通。</w:t>
      </w:r>
    </w:p>
    <w:p>
      <w:pPr>
        <w:pStyle w:val="4"/>
        <w:ind w:firstLine="640"/>
        <w:rPr>
          <w:rFonts w:cs="Times New Roman"/>
        </w:rPr>
      </w:pPr>
      <w:bookmarkStart w:id="21" w:name="_Toc19046282"/>
      <w:bookmarkStart w:id="22" w:name="_Toc18998918"/>
      <w:r>
        <w:rPr>
          <w:rFonts w:cs="Times New Roman"/>
        </w:rPr>
        <w:t>（五）区司法局工作成效显著，社会满意度较高</w:t>
      </w:r>
      <w:bookmarkEnd w:id="21"/>
      <w:bookmarkEnd w:id="22"/>
    </w:p>
    <w:p>
      <w:pPr>
        <w:ind w:firstLine="643"/>
      </w:pPr>
      <w:r>
        <w:rPr>
          <w:b/>
          <w:bCs/>
        </w:rPr>
        <w:t>一是</w:t>
      </w:r>
      <w:r>
        <w:t>根据2018年度机关绩效考核结果通报，区司法局总分为3分（满分）。</w:t>
      </w:r>
      <w:r>
        <w:rPr>
          <w:b/>
          <w:bCs/>
        </w:rPr>
        <w:t>二是</w:t>
      </w:r>
      <w:r>
        <w:t>花城、花东司法所顺利通过广州市第二批示范司法所验收，被评为全市示范司法所。</w:t>
      </w:r>
      <w:r>
        <w:rPr>
          <w:b/>
          <w:bCs/>
        </w:rPr>
        <w:t>三是</w:t>
      </w:r>
      <w:r>
        <w:t>全区各级各类调解组织共调解各类矛盾纠纷4,646宗，成功化解各类矛盾纠纷4,619宗，成功率达99.41%，有效维护花都区和谐稳定。</w:t>
      </w:r>
      <w:r>
        <w:rPr>
          <w:b/>
          <w:bCs/>
        </w:rPr>
        <w:t>四是</w:t>
      </w:r>
      <w:r>
        <w:rPr>
          <w:rFonts w:hint="eastAsia"/>
          <w:bCs/>
        </w:rPr>
        <w:t>对于</w:t>
      </w:r>
      <w:r>
        <w:t>各项目支出的社会公众满意度，</w:t>
      </w:r>
      <w:r>
        <w:rPr>
          <w:rFonts w:hint="eastAsia"/>
        </w:rPr>
        <w:t>如</w:t>
      </w:r>
      <w:r>
        <w:t>购买方和司法所工作人员对项目承接机构协助开展工作满意度、对申请类（民事）法律援助案件群众满意度、对村居人民调解工作满意度等，均获得了较高的评价。</w:t>
      </w:r>
      <w:r>
        <w:br w:type="page"/>
      </w:r>
    </w:p>
    <w:p>
      <w:pPr>
        <w:pStyle w:val="3"/>
        <w:ind w:firstLine="640"/>
      </w:pPr>
      <w:bookmarkStart w:id="23" w:name="_Toc18998919"/>
      <w:bookmarkStart w:id="24" w:name="_Toc19046283"/>
      <w:r>
        <w:rPr>
          <w:rFonts w:hint="eastAsia"/>
        </w:rPr>
        <w:t>四</w:t>
      </w:r>
      <w:r>
        <w:t>、存在问题</w:t>
      </w:r>
      <w:bookmarkEnd w:id="14"/>
      <w:bookmarkEnd w:id="23"/>
      <w:bookmarkEnd w:id="24"/>
    </w:p>
    <w:p>
      <w:pPr>
        <w:pStyle w:val="4"/>
        <w:ind w:firstLine="640"/>
        <w:rPr>
          <w:rFonts w:cs="Times New Roman"/>
        </w:rPr>
      </w:pPr>
      <w:bookmarkStart w:id="25" w:name="_Toc18998920"/>
      <w:bookmarkStart w:id="26" w:name="_Toc19046284"/>
      <w:r>
        <w:rPr>
          <w:rFonts w:cs="Times New Roman"/>
        </w:rPr>
        <w:t>（一）绩效目标设置未能充分体现部门监管职能，未能全面发挥绩效目标导向性作用</w:t>
      </w:r>
      <w:bookmarkEnd w:id="25"/>
      <w:bookmarkEnd w:id="26"/>
    </w:p>
    <w:p>
      <w:pPr>
        <w:ind w:firstLine="643"/>
        <w:rPr>
          <w:rFonts w:eastAsia="仿宋"/>
          <w:color w:val="000000"/>
          <w:szCs w:val="32"/>
        </w:rPr>
      </w:pPr>
      <w:r>
        <w:rPr>
          <w:b/>
          <w:bCs/>
        </w:rPr>
        <w:t>一是</w:t>
      </w:r>
      <w:r>
        <w:t>整体支出自评表中，个别共性指标设置过多，且设置的绩效指标不能完全覆盖绩效目标。如“社区矫正和帮教安置工作计划”，涉及社工的绩效指标设置为“司法社工培训次数”“司法社工人数”不够充分，未能完全覆盖“社区矫正和帮教安置”的绩效目标</w:t>
      </w:r>
      <w:r>
        <w:rPr>
          <w:rFonts w:hint="eastAsia"/>
        </w:rPr>
        <w:t>等</w:t>
      </w:r>
      <w:r>
        <w:t>。</w:t>
      </w:r>
      <w:r>
        <w:rPr>
          <w:b/>
          <w:bCs/>
        </w:rPr>
        <w:t>二是</w:t>
      </w:r>
      <w:r>
        <w:t>绩效目标设置未能充分体现部门监管职能，未能突出核心工作产出指标和效果指标的设置及考核。如根据部门职能，区司法局主要承担对法律援助、法律顾问、村（居）委调解委员会等工作的监管职责，而在体现部门监管职能和效能方面设置的绩效指标方面则还有待挖掘。三</w:t>
      </w:r>
      <w:r>
        <w:rPr>
          <w:b/>
          <w:bCs/>
        </w:rPr>
        <w:t>是</w:t>
      </w:r>
      <w:r>
        <w:t>项目支出自评表中，个别项目未涵盖质量、时效、成本指标，指标设置不够具体，没有按照绩效指标的分类如产出数量、质量、时效、成本等类别去细化，难以全面反映出项目的实施内容。</w:t>
      </w:r>
    </w:p>
    <w:p>
      <w:pPr>
        <w:pStyle w:val="4"/>
        <w:ind w:firstLine="640"/>
        <w:rPr>
          <w:rFonts w:cs="Times New Roman"/>
        </w:rPr>
      </w:pPr>
      <w:bookmarkStart w:id="27" w:name="_Toc19046285"/>
      <w:bookmarkStart w:id="28" w:name="_Toc18998921"/>
      <w:r>
        <w:rPr>
          <w:rFonts w:cs="Times New Roman"/>
        </w:rPr>
        <w:t>（二）预算编制不够精细，对个别项目支出的规划和前瞻性不够充分，且同类项目间的整合有待加强</w:t>
      </w:r>
      <w:bookmarkEnd w:id="27"/>
      <w:bookmarkEnd w:id="28"/>
    </w:p>
    <w:p>
      <w:pPr>
        <w:ind w:firstLine="643"/>
        <w:rPr>
          <w:rFonts w:eastAsia="仿宋"/>
          <w:szCs w:val="32"/>
        </w:rPr>
      </w:pPr>
      <w:r>
        <w:rPr>
          <w:b/>
        </w:rPr>
        <w:t>一是</w:t>
      </w:r>
      <w:r>
        <w:t>个别项目预算调整较大，项目支出的规划和前瞻性不够充分。如《一村（社区）一法律顾问工作经费》项目的预算金额为529万元，预算调整金额为453.95万元，中途调整预算需求75.05万元，调整率为14.19%。一定程度上反映了部门对预算规划和实施方案的科学合理设计方面还有待加强。</w:t>
      </w:r>
      <w:r>
        <w:rPr>
          <w:b/>
        </w:rPr>
        <w:t>二是</w:t>
      </w:r>
      <w:r>
        <w:t>同类项目间的整合有待加强。如《办公楼改造装修工程》《办公用房修缮及会议室改造设备购置》预算分别为1.4万元和1.11万元，项目实施内容相同或相近，建议整合。</w:t>
      </w:r>
    </w:p>
    <w:p>
      <w:pPr>
        <w:pStyle w:val="4"/>
        <w:ind w:firstLine="640"/>
        <w:rPr>
          <w:rFonts w:cs="Times New Roman"/>
        </w:rPr>
      </w:pPr>
      <w:bookmarkStart w:id="29" w:name="_Toc18998922"/>
      <w:bookmarkStart w:id="30" w:name="_Toc19046286"/>
      <w:r>
        <w:rPr>
          <w:rFonts w:cs="Times New Roman"/>
        </w:rPr>
        <w:t>（三）基层矛盾纠纷化解作用以及创新社会管理服务有待进一步提升</w:t>
      </w:r>
      <w:bookmarkEnd w:id="29"/>
      <w:bookmarkEnd w:id="30"/>
    </w:p>
    <w:p>
      <w:pPr>
        <w:ind w:firstLine="643"/>
      </w:pPr>
      <w:r>
        <w:rPr>
          <w:b/>
        </w:rPr>
        <w:t>一是</w:t>
      </w:r>
      <w:r>
        <w:t>村（社区）法律顾问律师参与基层矛盾纠纷化解的作用有待进一步发挥。目前已为全区252个村（社区）配备一名法律顾问，协助做好村（社区）自治管理，为群众提供法律服务，起到了很好的效果。但由于村（社区）公共事务、矛盾纠纷的复杂性、法律顾问对事件的了解深度和自身条件局限性，对一些基层矛盾纠纷化解方面的作用较为有限。</w:t>
      </w:r>
      <w:r>
        <w:rPr>
          <w:b/>
        </w:rPr>
        <w:t>二是</w:t>
      </w:r>
      <w:r>
        <w:t>创新社会管理服务和为有需要的社区矫正、安置帮教人员提供帮助方面有待提升。</w:t>
      </w:r>
      <w:r>
        <w:rPr>
          <w:rFonts w:hint="eastAsia"/>
        </w:rPr>
        <w:t>如</w:t>
      </w:r>
      <w:r>
        <w:t>对社区矫正领域的购买服务机制，以及针对有需要的社区矫正、安置帮教人员如何更好地提供个别教育、心理矫治、行为矫正及社会融入服务等方面的工作，</w:t>
      </w:r>
      <w:r>
        <w:rPr>
          <w:rFonts w:hint="eastAsia"/>
        </w:rPr>
        <w:t>需</w:t>
      </w:r>
      <w:r>
        <w:t>进行更多思考和改革创新。</w:t>
      </w:r>
    </w:p>
    <w:p>
      <w:pPr>
        <w:pStyle w:val="3"/>
        <w:ind w:firstLine="640"/>
      </w:pPr>
      <w:bookmarkStart w:id="31" w:name="_Toc18998923"/>
      <w:bookmarkStart w:id="32" w:name="_Toc19046287"/>
      <w:bookmarkStart w:id="33" w:name="_Toc14769816"/>
      <w:r>
        <w:rPr>
          <w:rFonts w:hint="eastAsia"/>
        </w:rPr>
        <w:t>五</w:t>
      </w:r>
      <w:r>
        <w:t>、改进建议</w:t>
      </w:r>
      <w:bookmarkEnd w:id="31"/>
      <w:bookmarkEnd w:id="32"/>
      <w:bookmarkEnd w:id="33"/>
    </w:p>
    <w:p>
      <w:pPr>
        <w:pStyle w:val="4"/>
        <w:ind w:firstLine="640"/>
        <w:rPr>
          <w:rFonts w:cs="Times New Roman"/>
        </w:rPr>
      </w:pPr>
      <w:bookmarkStart w:id="34" w:name="_Toc18998924"/>
      <w:bookmarkStart w:id="35" w:name="_Toc19046288"/>
      <w:r>
        <w:rPr>
          <w:rFonts w:cs="Times New Roman"/>
        </w:rPr>
        <w:t>（一）建立科学完整的绩效评价体系，强化绩效目标导向性作用</w:t>
      </w:r>
      <w:bookmarkEnd w:id="34"/>
      <w:bookmarkEnd w:id="35"/>
    </w:p>
    <w:p>
      <w:pPr>
        <w:ind w:firstLine="643"/>
        <w:rPr>
          <w:bCs/>
        </w:rPr>
      </w:pPr>
      <w:r>
        <w:rPr>
          <w:b/>
          <w:bCs/>
        </w:rPr>
        <w:t>一是</w:t>
      </w:r>
      <w:r>
        <w:rPr>
          <w:bCs/>
        </w:rPr>
        <w:t>设置的</w:t>
      </w:r>
      <w:r>
        <w:t>绩效指标要覆盖及反映对应的绩效目标。</w:t>
      </w:r>
      <w:r>
        <w:rPr>
          <w:b/>
          <w:bCs/>
        </w:rPr>
        <w:t>二是</w:t>
      </w:r>
      <w:r>
        <w:t>绩效目标设置要充分体现部门监管职能，应设置合理量化的产出指标和效果指标，并突出其核心工作。例如，对于法律援助、法律顾问、村（居）委调解委员会等工作的监管职责，应增加设置“监督检查次数”“监督检查覆盖率”“管控有效性”等绩效指标。</w:t>
      </w:r>
      <w:r>
        <w:rPr>
          <w:b/>
        </w:rPr>
        <w:t>三是</w:t>
      </w:r>
      <w:r>
        <w:t>规范项目的绩效目标设置，使其绩效产出指标按数量、质量、时效、成本等类别进行细化设置，绩效效益设置及反映经济效益、社会效益、可持续性、满意度等方面，全面反映出项目的实施内容及效益</w:t>
      </w:r>
      <w:r>
        <w:rPr>
          <w:bCs/>
        </w:rPr>
        <w:t>，进一步</w:t>
      </w:r>
      <w:r>
        <w:t>强化绩效目标导向性作用</w:t>
      </w:r>
      <w:r>
        <w:rPr>
          <w:bCs/>
        </w:rPr>
        <w:t>。</w:t>
      </w:r>
    </w:p>
    <w:p>
      <w:pPr>
        <w:pStyle w:val="4"/>
        <w:ind w:firstLine="640"/>
        <w:rPr>
          <w:rFonts w:cs="Times New Roman"/>
        </w:rPr>
      </w:pPr>
      <w:bookmarkStart w:id="36" w:name="_Toc18998925"/>
      <w:bookmarkStart w:id="37" w:name="_Toc19046289"/>
      <w:r>
        <w:rPr>
          <w:rFonts w:cs="Times New Roman"/>
        </w:rPr>
        <w:t>（二）提高预决算责任意识，更为科学合理进行财务核算，提高预算执行率</w:t>
      </w:r>
      <w:bookmarkEnd w:id="36"/>
      <w:bookmarkEnd w:id="37"/>
    </w:p>
    <w:p>
      <w:pPr>
        <w:ind w:firstLine="643"/>
        <w:rPr>
          <w:rFonts w:eastAsia="仿宋"/>
          <w:szCs w:val="32"/>
        </w:rPr>
      </w:pPr>
      <w:r>
        <w:rPr>
          <w:b/>
          <w:bCs/>
        </w:rPr>
        <w:t>一是</w:t>
      </w:r>
      <w:r>
        <w:t>财务人员要提前做好编报的各项准备工作，制订工作时间表，有计划、分步骤地推进编报工作。预算执行过程中，规范工作程序，尤其是专项资金，力保数据的准确性和真实性，提高预算完成率。</w:t>
      </w:r>
      <w:r>
        <w:rPr>
          <w:b/>
          <w:bCs/>
        </w:rPr>
        <w:t>二是</w:t>
      </w:r>
      <w:r>
        <w:t>严格遵守预算编制要求，加强预算前瞻性与科学性，使预算执行能更加到位。</w:t>
      </w:r>
      <w:r>
        <w:rPr>
          <w:bCs/>
        </w:rPr>
        <w:t>并且，建议</w:t>
      </w:r>
      <w:r>
        <w:t>及时做好各项收支数据的核对和财务资料的准备工作，确保支出进度和项目实施进度保持基本一致。</w:t>
      </w:r>
      <w:r>
        <w:rPr>
          <w:b/>
          <w:bCs/>
        </w:rPr>
        <w:t>三是</w:t>
      </w:r>
      <w:r>
        <w:t>进一步加强对项目的论证，合理规划和配置资金。例如，对于实施内容相同或相近的项目，建议在申请预算时进一步加强论证并进行整合，提高项目实施管理效率及成效。</w:t>
      </w:r>
    </w:p>
    <w:p>
      <w:pPr>
        <w:pStyle w:val="4"/>
        <w:ind w:firstLine="640"/>
        <w:rPr>
          <w:rFonts w:cs="Times New Roman"/>
        </w:rPr>
      </w:pPr>
      <w:bookmarkStart w:id="38" w:name="_Toc19046290"/>
      <w:bookmarkStart w:id="39" w:name="_Toc18998926"/>
      <w:r>
        <w:rPr>
          <w:rFonts w:cs="Times New Roman"/>
        </w:rPr>
        <w:t>（三）进一步提升预防化解矛盾纠纷能力，且创新社会管理服务，形成具有花都特色的社区矫正管理模式</w:t>
      </w:r>
      <w:bookmarkEnd w:id="38"/>
      <w:bookmarkEnd w:id="39"/>
    </w:p>
    <w:p>
      <w:pPr>
        <w:ind w:firstLine="643"/>
        <w:rPr>
          <w:rFonts w:eastAsia="仿宋"/>
          <w:color w:val="000000"/>
          <w:szCs w:val="32"/>
          <w:lang w:val="zh-CN"/>
        </w:rPr>
      </w:pPr>
      <w:r>
        <w:rPr>
          <w:b/>
          <w:bCs/>
        </w:rPr>
        <w:t>一是</w:t>
      </w:r>
      <w:r>
        <w:t>进一步提升预防化解矛盾纠纷能力。第一，按照工作原则组织开展专项维稳工作，重点对村（街）、校园周边和厂区等进行排查走访，及时发现、化解各种突发性、群体性纠纷。第二，切实加强重大时间节点前后和敏感时期特别防护期内的专项排查和重点排查工作，对不稳定苗头做到“早发现、早控制、早处理”。第三，加强区人民调解化解矛盾纠纷分析研判机制建设</w:t>
      </w:r>
      <w:r>
        <w:rPr>
          <w:rFonts w:hint="eastAsia"/>
        </w:rPr>
        <w:t>，</w:t>
      </w:r>
      <w:r>
        <w:t>扎实推进每月一调解工作研判、每季度一调解工作会议制度。</w:t>
      </w:r>
      <w:r>
        <w:rPr>
          <w:b/>
        </w:rPr>
        <w:t>二是</w:t>
      </w:r>
      <w:r>
        <w:t>创新社会管理服务，形成具有花都特色的社区矫正管理模式。第一，完善社区矫正领域的购买服务机制，为有需要社区矫正、安置帮教人员提供个别教育、心理矫治、行为矫正及社会融入服务，最大限度地预防社区服刑人员脱管、漏管，减少重新违法犯罪。第二，针对司法社工提供的十项服务质量和社工机构的内控进行持续有效监管。</w:t>
      </w:r>
      <w:r>
        <w:rPr>
          <w:rFonts w:hint="eastAsia"/>
        </w:rPr>
        <w:t>同时针对性</w:t>
      </w:r>
      <w:r>
        <w:t>制定教育学习与社区服务方案，自学与集中教育相结合，</w:t>
      </w:r>
      <w:r>
        <w:rPr>
          <w:rFonts w:hint="eastAsia"/>
        </w:rPr>
        <w:t>且</w:t>
      </w:r>
      <w:r>
        <w:t>积极联动团区委</w:t>
      </w:r>
      <w:r>
        <w:rPr>
          <w:rFonts w:hint="eastAsia"/>
        </w:rPr>
        <w:t>，</w:t>
      </w:r>
      <w:r>
        <w:t>将部分社区服刑人员纳入志愿者参与城市文明志愿服务工作，建立全新的社区服务组织模式。第三，进一步推行电子手环定位监管，实现对社区服刑人员全天24小时行踪的有效监控与约束。同时</w:t>
      </w:r>
      <w:r>
        <w:rPr>
          <w:lang w:val="zh-CN"/>
        </w:rPr>
        <w:t>有针对性地对</w:t>
      </w:r>
      <w:r>
        <w:t>社区服刑人员</w:t>
      </w:r>
      <w:r>
        <w:rPr>
          <w:lang w:val="zh-CN"/>
        </w:rPr>
        <w:t>实施心理辅导、心理治疗和行为训练，每月定期开展心理健康知识讲座。</w:t>
      </w:r>
    </w:p>
    <w:p>
      <w:pPr>
        <w:pStyle w:val="4"/>
        <w:ind w:firstLine="640"/>
        <w:rPr>
          <w:rFonts w:cs="Times New Roman"/>
        </w:rPr>
      </w:pPr>
      <w:bookmarkStart w:id="40" w:name="_Toc19046291"/>
      <w:bookmarkStart w:id="41" w:name="_Toc18998927"/>
      <w:r>
        <w:rPr>
          <w:rFonts w:cs="Times New Roman"/>
        </w:rPr>
        <w:t>（四）创建更加多样化和更具创新性的普法形式平台，增强普法实效</w:t>
      </w:r>
      <w:bookmarkEnd w:id="40"/>
      <w:bookmarkEnd w:id="41"/>
    </w:p>
    <w:p>
      <w:pPr>
        <w:ind w:firstLine="643"/>
      </w:pPr>
      <w:r>
        <w:rPr>
          <w:b/>
          <w:bCs/>
        </w:rPr>
        <w:t>一是</w:t>
      </w:r>
      <w:r>
        <w:t>围绕中心工作，重点开展国家安全、乡村振兴、扫黑除恶、禁毒、防邪法治宣传主题活动，推动全社会树立法治意识。</w:t>
      </w:r>
      <w:r>
        <w:rPr>
          <w:b/>
          <w:bCs/>
        </w:rPr>
        <w:t>二是</w:t>
      </w:r>
      <w:r>
        <w:t>在传统法治宣传活动的基础上，</w:t>
      </w:r>
      <w:r>
        <w:rPr>
          <w:rFonts w:hint="eastAsia"/>
        </w:rPr>
        <w:t>充分</w:t>
      </w:r>
      <w:r>
        <w:t>发挥媒体作用，通过漫画、视频和以案释法等多种形式，围绕政府中心工作，大力宣传贴近基层、贴近群众、贴近生活的相关法律法规。</w:t>
      </w:r>
      <w:r>
        <w:rPr>
          <w:b/>
          <w:bCs/>
        </w:rPr>
        <w:t>三是</w:t>
      </w:r>
      <w:r>
        <w:t>继续提高电视专题和报纸专栏的普法质量</w:t>
      </w:r>
      <w:r>
        <w:rPr>
          <w:rFonts w:hint="eastAsia"/>
        </w:rPr>
        <w:t>，并</w:t>
      </w:r>
      <w:r>
        <w:t>结合安全生产、国家安全、禁毒戒毒等专题活动，充分利用公交车载视屏、新闻媒体普法阵地，加大宣传力度，增添法治文化元素，营造法治文化和法治宣传的良好环境。</w:t>
      </w:r>
      <w:r>
        <w:rPr>
          <w:b/>
          <w:bCs/>
        </w:rPr>
        <w:t>四是</w:t>
      </w:r>
      <w:r>
        <w:t>进一步开展对领导干部、青少年、企业员工等重点对象的普法工作。打通法律服务群众的“最后一公里”，切实增强广大基层干部和群众的法律意识，促进村（社区）委会科学民主决策、依法办事，引导群众依法理性表达利益诉求、解决矛盾纠纷、保障合法权益。</w:t>
      </w:r>
    </w:p>
    <w:p>
      <w:pPr>
        <w:pStyle w:val="3"/>
        <w:ind w:firstLine="0" w:firstLineChars="0"/>
      </w:pPr>
    </w:p>
    <w:sectPr>
      <w:headerReference r:id="rId3" w:type="default"/>
      <w:footerReference r:id="rId4" w:type="default"/>
      <w:pgSz w:w="11906" w:h="16838"/>
      <w:pgMar w:top="2098" w:right="1531" w:bottom="1985" w:left="1588" w:header="851" w:footer="992" w:gutter="0"/>
      <w:pgNumType w:start="1"/>
      <w:cols w:space="720" w:num="1"/>
      <w:docGrid w:type="linesAndChars" w:linePitch="435"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32">
      <wne:acd wne:acdName="acd1"/>
    </wne:keymap>
    <wne:keymap wne:kcmPrimary="0433">
      <wne:acd wne:acdName="acd2"/>
    </wne:keymap>
    <wne:keymap wne:kcmPrimary="0434">
      <wne:acd wne:acdName="acd3"/>
    </wne:keymap>
    <wne:keymap wne:kcmPrimary="045A">
      <wne:acd wne:acdName="acd4"/>
    </wne:keymap>
  </wne:keymap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AA" wne:acdName="acd4"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altName w:val="Arial Unicode MS"/>
    <w:panose1 w:val="03000509000000000000"/>
    <w:charset w:val="86"/>
    <w:family w:val="script"/>
    <w:pitch w:val="default"/>
    <w:sig w:usb0="00000000" w:usb1="00000000" w:usb2="0000001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441569979"/>
      <w:docPartObj>
        <w:docPartGallery w:val="AutoText"/>
      </w:docPartObj>
    </w:sdtPr>
    <w:sdtEndPr>
      <w:rPr>
        <w:rFonts w:ascii="Times New Roman" w:hAnsi="Times New Roman" w:cs="Times New Roman"/>
        <w:sz w:val="24"/>
        <w:szCs w:val="24"/>
      </w:rPr>
    </w:sdtEndPr>
    <w:sdtContent>
      <w:p>
        <w:pPr>
          <w:pStyle w:val="14"/>
          <w:ind w:firstLine="0" w:firstLineChars="0"/>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9</w:t>
        </w:r>
        <w:r>
          <w:rPr>
            <w:rFonts w:ascii="Times New Roman" w:hAnsi="Times New Roman" w:cs="Times New Roman"/>
            <w:sz w:val="24"/>
            <w:szCs w:val="24"/>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6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val="1"/>
  <w:bordersDoNotSurroundHeader w:val="1"/>
  <w:bordersDoNotSurroundFooter w:val="1"/>
  <w:documentProtection w:enforcement="0"/>
  <w:defaultTabStop w:val="419"/>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C7397"/>
    <w:rsid w:val="00011E50"/>
    <w:rsid w:val="000143FB"/>
    <w:rsid w:val="000151B2"/>
    <w:rsid w:val="00016D6C"/>
    <w:rsid w:val="00027B60"/>
    <w:rsid w:val="00032808"/>
    <w:rsid w:val="00035396"/>
    <w:rsid w:val="0003625C"/>
    <w:rsid w:val="00057D80"/>
    <w:rsid w:val="000757C1"/>
    <w:rsid w:val="000825DA"/>
    <w:rsid w:val="000845C4"/>
    <w:rsid w:val="0008541C"/>
    <w:rsid w:val="0008617D"/>
    <w:rsid w:val="000879EF"/>
    <w:rsid w:val="000A4D3A"/>
    <w:rsid w:val="000A5854"/>
    <w:rsid w:val="000B4F60"/>
    <w:rsid w:val="000F2188"/>
    <w:rsid w:val="00130C77"/>
    <w:rsid w:val="00131E67"/>
    <w:rsid w:val="001523DE"/>
    <w:rsid w:val="00162773"/>
    <w:rsid w:val="00164B2F"/>
    <w:rsid w:val="00184B96"/>
    <w:rsid w:val="00186F34"/>
    <w:rsid w:val="001909D5"/>
    <w:rsid w:val="001A1D50"/>
    <w:rsid w:val="001A2D1D"/>
    <w:rsid w:val="001E0B65"/>
    <w:rsid w:val="001E1BC7"/>
    <w:rsid w:val="001F1C08"/>
    <w:rsid w:val="00200D3C"/>
    <w:rsid w:val="00213ECC"/>
    <w:rsid w:val="00214A25"/>
    <w:rsid w:val="0022330D"/>
    <w:rsid w:val="00231FF0"/>
    <w:rsid w:val="00234F1E"/>
    <w:rsid w:val="00240725"/>
    <w:rsid w:val="00245FC4"/>
    <w:rsid w:val="00263003"/>
    <w:rsid w:val="002A2FEE"/>
    <w:rsid w:val="002B1E15"/>
    <w:rsid w:val="002B5148"/>
    <w:rsid w:val="002C4FC0"/>
    <w:rsid w:val="002D2E18"/>
    <w:rsid w:val="002D5928"/>
    <w:rsid w:val="002D73BB"/>
    <w:rsid w:val="002F430D"/>
    <w:rsid w:val="002F5D32"/>
    <w:rsid w:val="00302080"/>
    <w:rsid w:val="003171EA"/>
    <w:rsid w:val="00322089"/>
    <w:rsid w:val="00333810"/>
    <w:rsid w:val="00335136"/>
    <w:rsid w:val="00335901"/>
    <w:rsid w:val="00342C2D"/>
    <w:rsid w:val="003462A0"/>
    <w:rsid w:val="0035482A"/>
    <w:rsid w:val="00354DD7"/>
    <w:rsid w:val="003655F6"/>
    <w:rsid w:val="00371613"/>
    <w:rsid w:val="003736A9"/>
    <w:rsid w:val="0037695B"/>
    <w:rsid w:val="00383FC7"/>
    <w:rsid w:val="003918D0"/>
    <w:rsid w:val="003E76E4"/>
    <w:rsid w:val="004032CA"/>
    <w:rsid w:val="00412D41"/>
    <w:rsid w:val="0043103D"/>
    <w:rsid w:val="00447F36"/>
    <w:rsid w:val="00447FC4"/>
    <w:rsid w:val="00450B86"/>
    <w:rsid w:val="00461A85"/>
    <w:rsid w:val="0046311D"/>
    <w:rsid w:val="00467CB7"/>
    <w:rsid w:val="00472CEB"/>
    <w:rsid w:val="00475518"/>
    <w:rsid w:val="004A2A27"/>
    <w:rsid w:val="004A3835"/>
    <w:rsid w:val="004B01B5"/>
    <w:rsid w:val="004B7FCF"/>
    <w:rsid w:val="004C29E0"/>
    <w:rsid w:val="004D0233"/>
    <w:rsid w:val="004D04FE"/>
    <w:rsid w:val="004D153F"/>
    <w:rsid w:val="004D5FEF"/>
    <w:rsid w:val="004E4AB8"/>
    <w:rsid w:val="004E5282"/>
    <w:rsid w:val="00500FCE"/>
    <w:rsid w:val="00501015"/>
    <w:rsid w:val="00511C09"/>
    <w:rsid w:val="00514559"/>
    <w:rsid w:val="00535A54"/>
    <w:rsid w:val="005447FA"/>
    <w:rsid w:val="005457F9"/>
    <w:rsid w:val="005533BC"/>
    <w:rsid w:val="0055396D"/>
    <w:rsid w:val="00557063"/>
    <w:rsid w:val="0056460E"/>
    <w:rsid w:val="005737DC"/>
    <w:rsid w:val="005813D9"/>
    <w:rsid w:val="00582656"/>
    <w:rsid w:val="00592508"/>
    <w:rsid w:val="005A775E"/>
    <w:rsid w:val="005B3586"/>
    <w:rsid w:val="005B7DB0"/>
    <w:rsid w:val="005C4046"/>
    <w:rsid w:val="005C45F8"/>
    <w:rsid w:val="005C744A"/>
    <w:rsid w:val="005E39D9"/>
    <w:rsid w:val="005E546D"/>
    <w:rsid w:val="005E6880"/>
    <w:rsid w:val="005F3208"/>
    <w:rsid w:val="006007EB"/>
    <w:rsid w:val="00603071"/>
    <w:rsid w:val="006166AA"/>
    <w:rsid w:val="006317A6"/>
    <w:rsid w:val="00635426"/>
    <w:rsid w:val="0063594A"/>
    <w:rsid w:val="00640575"/>
    <w:rsid w:val="0064257D"/>
    <w:rsid w:val="00642F10"/>
    <w:rsid w:val="00656F8D"/>
    <w:rsid w:val="00660E0A"/>
    <w:rsid w:val="00682DB6"/>
    <w:rsid w:val="006841EB"/>
    <w:rsid w:val="00690F48"/>
    <w:rsid w:val="00691DE0"/>
    <w:rsid w:val="00696EB2"/>
    <w:rsid w:val="006B00F6"/>
    <w:rsid w:val="006B2578"/>
    <w:rsid w:val="006B47BF"/>
    <w:rsid w:val="006F21DA"/>
    <w:rsid w:val="00703F20"/>
    <w:rsid w:val="00721F3A"/>
    <w:rsid w:val="00734233"/>
    <w:rsid w:val="00743300"/>
    <w:rsid w:val="00745320"/>
    <w:rsid w:val="00746EDD"/>
    <w:rsid w:val="007569DE"/>
    <w:rsid w:val="0076133A"/>
    <w:rsid w:val="00775D4F"/>
    <w:rsid w:val="00782C4B"/>
    <w:rsid w:val="0079490C"/>
    <w:rsid w:val="00795242"/>
    <w:rsid w:val="007A1F50"/>
    <w:rsid w:val="007A6139"/>
    <w:rsid w:val="007B5A17"/>
    <w:rsid w:val="007D29AA"/>
    <w:rsid w:val="007E3846"/>
    <w:rsid w:val="007F4AAF"/>
    <w:rsid w:val="00800D53"/>
    <w:rsid w:val="00807A9C"/>
    <w:rsid w:val="0081189D"/>
    <w:rsid w:val="00816E97"/>
    <w:rsid w:val="00821061"/>
    <w:rsid w:val="0083794B"/>
    <w:rsid w:val="00843EB4"/>
    <w:rsid w:val="00857A4C"/>
    <w:rsid w:val="008651EC"/>
    <w:rsid w:val="00870B3F"/>
    <w:rsid w:val="00871DA8"/>
    <w:rsid w:val="0087444B"/>
    <w:rsid w:val="0087672A"/>
    <w:rsid w:val="008830B7"/>
    <w:rsid w:val="008970FD"/>
    <w:rsid w:val="008C1BAA"/>
    <w:rsid w:val="008C1BCD"/>
    <w:rsid w:val="008C23DE"/>
    <w:rsid w:val="008F5A50"/>
    <w:rsid w:val="008F73D6"/>
    <w:rsid w:val="008F7B8C"/>
    <w:rsid w:val="00901D27"/>
    <w:rsid w:val="00902F41"/>
    <w:rsid w:val="00905C8C"/>
    <w:rsid w:val="0090742D"/>
    <w:rsid w:val="00915D5B"/>
    <w:rsid w:val="00923E82"/>
    <w:rsid w:val="00930864"/>
    <w:rsid w:val="00933735"/>
    <w:rsid w:val="0093583D"/>
    <w:rsid w:val="0095559C"/>
    <w:rsid w:val="00964B2B"/>
    <w:rsid w:val="0096633D"/>
    <w:rsid w:val="00973C74"/>
    <w:rsid w:val="009A1202"/>
    <w:rsid w:val="009A3992"/>
    <w:rsid w:val="009B3A8D"/>
    <w:rsid w:val="009B64C7"/>
    <w:rsid w:val="009C3A3E"/>
    <w:rsid w:val="009C48F7"/>
    <w:rsid w:val="009C7397"/>
    <w:rsid w:val="009D6F23"/>
    <w:rsid w:val="009D7444"/>
    <w:rsid w:val="009E4713"/>
    <w:rsid w:val="009F5EEA"/>
    <w:rsid w:val="00A17E1A"/>
    <w:rsid w:val="00A20C17"/>
    <w:rsid w:val="00A212DE"/>
    <w:rsid w:val="00A24A3F"/>
    <w:rsid w:val="00A2766A"/>
    <w:rsid w:val="00A32612"/>
    <w:rsid w:val="00A5555F"/>
    <w:rsid w:val="00A62313"/>
    <w:rsid w:val="00A65B54"/>
    <w:rsid w:val="00A70292"/>
    <w:rsid w:val="00A74AB6"/>
    <w:rsid w:val="00A77C57"/>
    <w:rsid w:val="00A8196A"/>
    <w:rsid w:val="00A90033"/>
    <w:rsid w:val="00A95C45"/>
    <w:rsid w:val="00AB1428"/>
    <w:rsid w:val="00AB4900"/>
    <w:rsid w:val="00AF18B3"/>
    <w:rsid w:val="00B34138"/>
    <w:rsid w:val="00B35110"/>
    <w:rsid w:val="00B411C9"/>
    <w:rsid w:val="00B432AA"/>
    <w:rsid w:val="00B464C7"/>
    <w:rsid w:val="00B46713"/>
    <w:rsid w:val="00B5150A"/>
    <w:rsid w:val="00B61D85"/>
    <w:rsid w:val="00B62725"/>
    <w:rsid w:val="00B6372E"/>
    <w:rsid w:val="00B64858"/>
    <w:rsid w:val="00B657BA"/>
    <w:rsid w:val="00B7026E"/>
    <w:rsid w:val="00B736CC"/>
    <w:rsid w:val="00B80D98"/>
    <w:rsid w:val="00BA25A1"/>
    <w:rsid w:val="00BB1CCC"/>
    <w:rsid w:val="00BB221A"/>
    <w:rsid w:val="00BB3D3D"/>
    <w:rsid w:val="00BB44CD"/>
    <w:rsid w:val="00BB54F4"/>
    <w:rsid w:val="00BD2FA2"/>
    <w:rsid w:val="00BE782A"/>
    <w:rsid w:val="00BF2754"/>
    <w:rsid w:val="00BF5BB8"/>
    <w:rsid w:val="00BF6BA2"/>
    <w:rsid w:val="00C27E0E"/>
    <w:rsid w:val="00C5292A"/>
    <w:rsid w:val="00C6024F"/>
    <w:rsid w:val="00C61843"/>
    <w:rsid w:val="00C700BD"/>
    <w:rsid w:val="00C711AB"/>
    <w:rsid w:val="00C7142D"/>
    <w:rsid w:val="00C902EA"/>
    <w:rsid w:val="00CA1BD0"/>
    <w:rsid w:val="00CA5F37"/>
    <w:rsid w:val="00CA6BB6"/>
    <w:rsid w:val="00CE550D"/>
    <w:rsid w:val="00CE5EC3"/>
    <w:rsid w:val="00CF0568"/>
    <w:rsid w:val="00CF43A2"/>
    <w:rsid w:val="00CF6124"/>
    <w:rsid w:val="00CF62C2"/>
    <w:rsid w:val="00D037EF"/>
    <w:rsid w:val="00D041D0"/>
    <w:rsid w:val="00D13278"/>
    <w:rsid w:val="00D2326E"/>
    <w:rsid w:val="00D25757"/>
    <w:rsid w:val="00D26E1D"/>
    <w:rsid w:val="00D425E9"/>
    <w:rsid w:val="00D53B79"/>
    <w:rsid w:val="00D626DA"/>
    <w:rsid w:val="00D708E3"/>
    <w:rsid w:val="00D73E08"/>
    <w:rsid w:val="00D93665"/>
    <w:rsid w:val="00D9506E"/>
    <w:rsid w:val="00DA5D20"/>
    <w:rsid w:val="00DB088D"/>
    <w:rsid w:val="00DB368A"/>
    <w:rsid w:val="00DB3938"/>
    <w:rsid w:val="00DC039C"/>
    <w:rsid w:val="00DC2FB0"/>
    <w:rsid w:val="00DE66CB"/>
    <w:rsid w:val="00DE7A03"/>
    <w:rsid w:val="00DE7A33"/>
    <w:rsid w:val="00E0711F"/>
    <w:rsid w:val="00E11E52"/>
    <w:rsid w:val="00E14AE3"/>
    <w:rsid w:val="00E17C92"/>
    <w:rsid w:val="00E26A9B"/>
    <w:rsid w:val="00E41F85"/>
    <w:rsid w:val="00E52BB0"/>
    <w:rsid w:val="00E532AB"/>
    <w:rsid w:val="00E57B0F"/>
    <w:rsid w:val="00E63D07"/>
    <w:rsid w:val="00E6640D"/>
    <w:rsid w:val="00E67F47"/>
    <w:rsid w:val="00E71A2D"/>
    <w:rsid w:val="00E75A5D"/>
    <w:rsid w:val="00E808E7"/>
    <w:rsid w:val="00E83AA1"/>
    <w:rsid w:val="00E85C23"/>
    <w:rsid w:val="00E878CE"/>
    <w:rsid w:val="00E9216D"/>
    <w:rsid w:val="00EA6FD9"/>
    <w:rsid w:val="00EB4DC7"/>
    <w:rsid w:val="00EC6281"/>
    <w:rsid w:val="00ED5B86"/>
    <w:rsid w:val="00EE65D3"/>
    <w:rsid w:val="00F23332"/>
    <w:rsid w:val="00F32E46"/>
    <w:rsid w:val="00F36B41"/>
    <w:rsid w:val="00F566C4"/>
    <w:rsid w:val="00FA2234"/>
    <w:rsid w:val="00FA3AF5"/>
    <w:rsid w:val="00FB5963"/>
    <w:rsid w:val="00FC4C05"/>
    <w:rsid w:val="00FD6F2E"/>
    <w:rsid w:val="00FF3BF6"/>
    <w:rsid w:val="00FF4B6A"/>
    <w:rsid w:val="00FF55F6"/>
    <w:rsid w:val="00FF60B7"/>
    <w:rsid w:val="02AD571B"/>
    <w:rsid w:val="04682D05"/>
    <w:rsid w:val="04A34299"/>
    <w:rsid w:val="05314AE3"/>
    <w:rsid w:val="056A331D"/>
    <w:rsid w:val="064F5E0E"/>
    <w:rsid w:val="08073DEB"/>
    <w:rsid w:val="09A8517D"/>
    <w:rsid w:val="0AED19AA"/>
    <w:rsid w:val="0AF167E7"/>
    <w:rsid w:val="0B6B49A4"/>
    <w:rsid w:val="0D625CDD"/>
    <w:rsid w:val="0E506060"/>
    <w:rsid w:val="0ED55003"/>
    <w:rsid w:val="0EEE4221"/>
    <w:rsid w:val="0F0C7D31"/>
    <w:rsid w:val="0F3B571B"/>
    <w:rsid w:val="0F803542"/>
    <w:rsid w:val="0FAF5265"/>
    <w:rsid w:val="0FD53492"/>
    <w:rsid w:val="11335F2A"/>
    <w:rsid w:val="115735F1"/>
    <w:rsid w:val="13A52059"/>
    <w:rsid w:val="13A60CEE"/>
    <w:rsid w:val="1438382C"/>
    <w:rsid w:val="14DA6F25"/>
    <w:rsid w:val="153B6599"/>
    <w:rsid w:val="15617F64"/>
    <w:rsid w:val="16242CC9"/>
    <w:rsid w:val="16A70FFF"/>
    <w:rsid w:val="177D259E"/>
    <w:rsid w:val="17FE6739"/>
    <w:rsid w:val="19210C33"/>
    <w:rsid w:val="19AE2805"/>
    <w:rsid w:val="1A701273"/>
    <w:rsid w:val="1C7D4B4A"/>
    <w:rsid w:val="1C865C52"/>
    <w:rsid w:val="1C875ACF"/>
    <w:rsid w:val="1E331302"/>
    <w:rsid w:val="1FF408F5"/>
    <w:rsid w:val="1FFE3F42"/>
    <w:rsid w:val="205347E7"/>
    <w:rsid w:val="205D567A"/>
    <w:rsid w:val="208B72BA"/>
    <w:rsid w:val="211A6618"/>
    <w:rsid w:val="224A31DA"/>
    <w:rsid w:val="22C8090B"/>
    <w:rsid w:val="23FB40AE"/>
    <w:rsid w:val="2563263F"/>
    <w:rsid w:val="26C216C0"/>
    <w:rsid w:val="27662D13"/>
    <w:rsid w:val="2A7A38D3"/>
    <w:rsid w:val="2DF57B3B"/>
    <w:rsid w:val="2EC7044E"/>
    <w:rsid w:val="2EF85075"/>
    <w:rsid w:val="2F116B50"/>
    <w:rsid w:val="2F282F9F"/>
    <w:rsid w:val="2FD4325D"/>
    <w:rsid w:val="30A50207"/>
    <w:rsid w:val="316504D9"/>
    <w:rsid w:val="32B8715F"/>
    <w:rsid w:val="33A6431A"/>
    <w:rsid w:val="33AC6086"/>
    <w:rsid w:val="342F5D1B"/>
    <w:rsid w:val="34CB69CC"/>
    <w:rsid w:val="35BB5DEA"/>
    <w:rsid w:val="36BA7214"/>
    <w:rsid w:val="37E73D0C"/>
    <w:rsid w:val="383158F9"/>
    <w:rsid w:val="39782159"/>
    <w:rsid w:val="39F831C2"/>
    <w:rsid w:val="3C55523D"/>
    <w:rsid w:val="3CDB64FF"/>
    <w:rsid w:val="3D2F4AC5"/>
    <w:rsid w:val="3E825CA9"/>
    <w:rsid w:val="3F6C16AA"/>
    <w:rsid w:val="41352915"/>
    <w:rsid w:val="41403867"/>
    <w:rsid w:val="41A43679"/>
    <w:rsid w:val="43A84F3E"/>
    <w:rsid w:val="44613619"/>
    <w:rsid w:val="4552111B"/>
    <w:rsid w:val="45B878B2"/>
    <w:rsid w:val="45EF01A8"/>
    <w:rsid w:val="47187C3D"/>
    <w:rsid w:val="474074F0"/>
    <w:rsid w:val="4804169F"/>
    <w:rsid w:val="483B7D64"/>
    <w:rsid w:val="496157BB"/>
    <w:rsid w:val="49C6019B"/>
    <w:rsid w:val="4BAC08E5"/>
    <w:rsid w:val="4BE92C08"/>
    <w:rsid w:val="4BEC0345"/>
    <w:rsid w:val="4C881D3E"/>
    <w:rsid w:val="4D8053F2"/>
    <w:rsid w:val="4DA14662"/>
    <w:rsid w:val="4DB55000"/>
    <w:rsid w:val="4DD80AEE"/>
    <w:rsid w:val="4E4026C8"/>
    <w:rsid w:val="4F1F7E1B"/>
    <w:rsid w:val="4F750517"/>
    <w:rsid w:val="5015140E"/>
    <w:rsid w:val="50D82564"/>
    <w:rsid w:val="529447CE"/>
    <w:rsid w:val="53CE351D"/>
    <w:rsid w:val="546577D7"/>
    <w:rsid w:val="54F34297"/>
    <w:rsid w:val="55C82F10"/>
    <w:rsid w:val="55F33B57"/>
    <w:rsid w:val="56491FB1"/>
    <w:rsid w:val="566B3F80"/>
    <w:rsid w:val="56777D6D"/>
    <w:rsid w:val="57F462E4"/>
    <w:rsid w:val="58A04E3B"/>
    <w:rsid w:val="58DB4258"/>
    <w:rsid w:val="595F4C9B"/>
    <w:rsid w:val="59A1205F"/>
    <w:rsid w:val="5A426E94"/>
    <w:rsid w:val="5AC47DDC"/>
    <w:rsid w:val="5AF0291B"/>
    <w:rsid w:val="5B4903D5"/>
    <w:rsid w:val="5B6B496D"/>
    <w:rsid w:val="5BC445BC"/>
    <w:rsid w:val="5C4F3A12"/>
    <w:rsid w:val="5CD86811"/>
    <w:rsid w:val="5D4E4BE5"/>
    <w:rsid w:val="5D5F58D5"/>
    <w:rsid w:val="5DF7341B"/>
    <w:rsid w:val="5E255797"/>
    <w:rsid w:val="5E4A01D9"/>
    <w:rsid w:val="5E5551D2"/>
    <w:rsid w:val="5E73277C"/>
    <w:rsid w:val="5FB17FA9"/>
    <w:rsid w:val="5FCE4B1D"/>
    <w:rsid w:val="61C52887"/>
    <w:rsid w:val="647B665E"/>
    <w:rsid w:val="64F469E9"/>
    <w:rsid w:val="659530A4"/>
    <w:rsid w:val="65A4069A"/>
    <w:rsid w:val="66EC6986"/>
    <w:rsid w:val="68915099"/>
    <w:rsid w:val="69371ED5"/>
    <w:rsid w:val="69CF6440"/>
    <w:rsid w:val="6B1737DE"/>
    <w:rsid w:val="6D365441"/>
    <w:rsid w:val="6FAB7D7B"/>
    <w:rsid w:val="6FD50796"/>
    <w:rsid w:val="6FDF3E4E"/>
    <w:rsid w:val="709350D7"/>
    <w:rsid w:val="72A90525"/>
    <w:rsid w:val="74E86A3E"/>
    <w:rsid w:val="75C9242A"/>
    <w:rsid w:val="76155F14"/>
    <w:rsid w:val="76625D43"/>
    <w:rsid w:val="79252591"/>
    <w:rsid w:val="794A5DDB"/>
    <w:rsid w:val="7986316D"/>
    <w:rsid w:val="79C0609D"/>
    <w:rsid w:val="79CF6B0C"/>
    <w:rsid w:val="7B272B3B"/>
    <w:rsid w:val="7BC525A7"/>
    <w:rsid w:val="7C631BBF"/>
    <w:rsid w:val="7CB60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560" w:lineRule="exact"/>
      <w:ind w:firstLine="200" w:firstLineChars="20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25"/>
    <w:qFormat/>
    <w:uiPriority w:val="9"/>
    <w:pPr>
      <w:spacing w:line="600" w:lineRule="exact"/>
      <w:outlineLvl w:val="0"/>
    </w:pPr>
    <w:rPr>
      <w:rFonts w:eastAsia="黑体"/>
      <w:bCs/>
      <w:kern w:val="44"/>
      <w:szCs w:val="44"/>
    </w:rPr>
  </w:style>
  <w:style w:type="paragraph" w:styleId="4">
    <w:name w:val="heading 2"/>
    <w:basedOn w:val="1"/>
    <w:next w:val="1"/>
    <w:unhideWhenUsed/>
    <w:qFormat/>
    <w:uiPriority w:val="9"/>
    <w:pPr>
      <w:spacing w:line="600" w:lineRule="exact"/>
      <w:outlineLvl w:val="1"/>
    </w:pPr>
    <w:rPr>
      <w:rFonts w:eastAsia="楷体_GB2312" w:cs="仿宋"/>
      <w:szCs w:val="22"/>
      <w:lang w:val="zh-CN" w:bidi="zh-CN"/>
    </w:rPr>
  </w:style>
  <w:style w:type="paragraph" w:styleId="5">
    <w:name w:val="heading 3"/>
    <w:basedOn w:val="1"/>
    <w:next w:val="1"/>
    <w:unhideWhenUsed/>
    <w:qFormat/>
    <w:uiPriority w:val="9"/>
    <w:pPr>
      <w:outlineLvl w:val="2"/>
    </w:pPr>
    <w:rPr>
      <w:rFonts w:cs="仿宋"/>
      <w:b/>
      <w:kern w:val="0"/>
      <w:szCs w:val="32"/>
      <w:lang w:val="zh-CN" w:bidi="zh-CN"/>
    </w:rPr>
  </w:style>
  <w:style w:type="paragraph" w:styleId="6">
    <w:name w:val="heading 4"/>
    <w:basedOn w:val="1"/>
    <w:next w:val="1"/>
    <w:link w:val="26"/>
    <w:unhideWhenUsed/>
    <w:qFormat/>
    <w:uiPriority w:val="9"/>
    <w:pPr>
      <w:outlineLvl w:val="3"/>
    </w:pPr>
  </w:style>
  <w:style w:type="character" w:default="1" w:styleId="19">
    <w:name w:val="Default Paragraph Font"/>
    <w:semiHidden/>
    <w:unhideWhenUsed/>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styleId="2">
    <w:name w:val="toc 2"/>
    <w:basedOn w:val="1"/>
    <w:next w:val="1"/>
    <w:unhideWhenUsed/>
    <w:qFormat/>
    <w:uiPriority w:val="39"/>
    <w:pPr>
      <w:ind w:left="100" w:leftChars="100" w:firstLine="0" w:firstLineChars="0"/>
    </w:pPr>
  </w:style>
  <w:style w:type="paragraph" w:styleId="7">
    <w:name w:val="annotation subject"/>
    <w:basedOn w:val="8"/>
    <w:next w:val="8"/>
    <w:link w:val="41"/>
    <w:semiHidden/>
    <w:unhideWhenUsed/>
    <w:uiPriority w:val="99"/>
    <w:rPr>
      <w:b/>
      <w:bCs/>
    </w:rPr>
  </w:style>
  <w:style w:type="paragraph" w:styleId="8">
    <w:name w:val="annotation text"/>
    <w:basedOn w:val="1"/>
    <w:link w:val="40"/>
    <w:semiHidden/>
    <w:unhideWhenUsed/>
    <w:qFormat/>
    <w:uiPriority w:val="99"/>
    <w:pPr>
      <w:jc w:val="left"/>
    </w:pPr>
  </w:style>
  <w:style w:type="paragraph" w:styleId="9">
    <w:name w:val="Document Map"/>
    <w:basedOn w:val="1"/>
    <w:link w:val="33"/>
    <w:semiHidden/>
    <w:unhideWhenUsed/>
    <w:qFormat/>
    <w:uiPriority w:val="99"/>
    <w:rPr>
      <w:rFonts w:ascii="宋体"/>
      <w:sz w:val="18"/>
      <w:szCs w:val="18"/>
    </w:rPr>
  </w:style>
  <w:style w:type="paragraph" w:styleId="10">
    <w:name w:val="toa heading"/>
    <w:basedOn w:val="1"/>
    <w:next w:val="1"/>
    <w:qFormat/>
    <w:uiPriority w:val="0"/>
    <w:pPr>
      <w:spacing w:before="120"/>
    </w:pPr>
    <w:rPr>
      <w:rFonts w:ascii="Arial" w:hAnsi="Arial" w:cs="Arial"/>
      <w:sz w:val="24"/>
    </w:rPr>
  </w:style>
  <w:style w:type="paragraph" w:styleId="11">
    <w:name w:val="toc 3"/>
    <w:basedOn w:val="1"/>
    <w:next w:val="1"/>
    <w:unhideWhenUsed/>
    <w:uiPriority w:val="39"/>
    <w:pPr>
      <w:ind w:left="840" w:leftChars="400"/>
    </w:pPr>
  </w:style>
  <w:style w:type="paragraph" w:styleId="12">
    <w:name w:val="Date"/>
    <w:basedOn w:val="1"/>
    <w:next w:val="1"/>
    <w:link w:val="43"/>
    <w:semiHidden/>
    <w:unhideWhenUsed/>
    <w:uiPriority w:val="99"/>
    <w:pPr>
      <w:ind w:left="100" w:leftChars="2500"/>
    </w:pPr>
  </w:style>
  <w:style w:type="paragraph" w:styleId="13">
    <w:name w:val="Balloon Text"/>
    <w:basedOn w:val="1"/>
    <w:link w:val="31"/>
    <w:semiHidden/>
    <w:unhideWhenUsed/>
    <w:qFormat/>
    <w:uiPriority w:val="99"/>
    <w:rPr>
      <w:sz w:val="18"/>
      <w:szCs w:val="18"/>
    </w:rPr>
  </w:style>
  <w:style w:type="paragraph" w:styleId="14">
    <w:name w:val="footer"/>
    <w:basedOn w:val="1"/>
    <w:link w:val="28"/>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5">
    <w:name w:val="header"/>
    <w:basedOn w:val="1"/>
    <w:link w:val="27"/>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6">
    <w:name w:val="toc 1"/>
    <w:next w:val="1"/>
    <w:unhideWhenUsed/>
    <w:qFormat/>
    <w:uiPriority w:val="39"/>
    <w:pPr>
      <w:spacing w:after="60" w:line="560" w:lineRule="exact"/>
      <w:jc w:val="both"/>
    </w:pPr>
    <w:rPr>
      <w:rFonts w:ascii="Times New Roman" w:hAnsi="Times New Roman" w:eastAsia="黑体" w:cs="Times New Roman"/>
      <w:kern w:val="2"/>
      <w:sz w:val="32"/>
      <w:szCs w:val="24"/>
      <w:lang w:val="en-US" w:eastAsia="zh-CN" w:bidi="ar-SA"/>
    </w:rPr>
  </w:style>
  <w:style w:type="paragraph" w:styleId="17">
    <w:name w:val="Subtitle"/>
    <w:next w:val="1"/>
    <w:link w:val="38"/>
    <w:qFormat/>
    <w:uiPriority w:val="11"/>
    <w:pPr>
      <w:spacing w:line="600" w:lineRule="exact"/>
      <w:ind w:firstLine="200" w:firstLineChars="200"/>
      <w:jc w:val="both"/>
      <w:outlineLvl w:val="1"/>
    </w:pPr>
    <w:rPr>
      <w:rFonts w:ascii="Times New Roman" w:hAnsi="Times New Roman" w:eastAsia="楷体_GB2312" w:cs="Times New Roman"/>
      <w:bCs/>
      <w:kern w:val="28"/>
      <w:sz w:val="32"/>
      <w:szCs w:val="32"/>
      <w:lang w:val="en-US" w:eastAsia="zh-CN" w:bidi="ar-SA"/>
    </w:rPr>
  </w:style>
  <w:style w:type="paragraph" w:styleId="18">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20">
    <w:name w:val="Hyperlink"/>
    <w:basedOn w:val="19"/>
    <w:unhideWhenUsed/>
    <w:qFormat/>
    <w:uiPriority w:val="99"/>
    <w:rPr>
      <w:color w:val="0563C1" w:themeColor="hyperlink"/>
      <w:u w:val="single"/>
    </w:rPr>
  </w:style>
  <w:style w:type="character" w:styleId="21">
    <w:name w:val="annotation reference"/>
    <w:basedOn w:val="19"/>
    <w:semiHidden/>
    <w:unhideWhenUsed/>
    <w:uiPriority w:val="99"/>
    <w:rPr>
      <w:sz w:val="21"/>
      <w:szCs w:val="21"/>
    </w:rPr>
  </w:style>
  <w:style w:type="table" w:styleId="23">
    <w:name w:val="Table Grid"/>
    <w:basedOn w:val="2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4">
    <w:name w:val="表格"/>
    <w:basedOn w:val="1"/>
    <w:qFormat/>
    <w:uiPriority w:val="0"/>
    <w:pPr>
      <w:spacing w:line="360" w:lineRule="atLeast"/>
      <w:ind w:firstLine="0" w:firstLineChars="0"/>
    </w:pPr>
    <w:rPr>
      <w:sz w:val="24"/>
    </w:rPr>
  </w:style>
  <w:style w:type="character" w:customStyle="1" w:styleId="25">
    <w:name w:val="标题 1 Char"/>
    <w:basedOn w:val="19"/>
    <w:link w:val="3"/>
    <w:qFormat/>
    <w:uiPriority w:val="9"/>
    <w:rPr>
      <w:rFonts w:eastAsia="黑体"/>
      <w:bCs/>
      <w:kern w:val="44"/>
      <w:sz w:val="32"/>
      <w:szCs w:val="44"/>
    </w:rPr>
  </w:style>
  <w:style w:type="character" w:customStyle="1" w:styleId="26">
    <w:name w:val="标题 4 Char"/>
    <w:link w:val="6"/>
    <w:uiPriority w:val="0"/>
    <w:rPr>
      <w:rFonts w:ascii="Times New Roman" w:hAnsi="Times New Roman" w:eastAsia="仿宋_GB2312"/>
    </w:rPr>
  </w:style>
  <w:style w:type="character" w:customStyle="1" w:styleId="27">
    <w:name w:val="页眉 Char"/>
    <w:link w:val="15"/>
    <w:qFormat/>
    <w:uiPriority w:val="99"/>
    <w:rPr>
      <w:sz w:val="18"/>
      <w:szCs w:val="18"/>
    </w:rPr>
  </w:style>
  <w:style w:type="character" w:customStyle="1" w:styleId="28">
    <w:name w:val="页脚 Char"/>
    <w:link w:val="14"/>
    <w:qFormat/>
    <w:uiPriority w:val="99"/>
    <w:rPr>
      <w:sz w:val="18"/>
      <w:szCs w:val="18"/>
    </w:rPr>
  </w:style>
  <w:style w:type="character" w:customStyle="1" w:styleId="29">
    <w:name w:val="页眉 字符1"/>
    <w:basedOn w:val="19"/>
    <w:semiHidden/>
    <w:qFormat/>
    <w:uiPriority w:val="99"/>
    <w:rPr>
      <w:rFonts w:ascii="Times New Roman" w:hAnsi="Times New Roman" w:eastAsia="宋体" w:cs="Times New Roman"/>
      <w:sz w:val="18"/>
      <w:szCs w:val="18"/>
    </w:rPr>
  </w:style>
  <w:style w:type="character" w:customStyle="1" w:styleId="30">
    <w:name w:val="页脚 字符1"/>
    <w:basedOn w:val="19"/>
    <w:semiHidden/>
    <w:qFormat/>
    <w:uiPriority w:val="99"/>
    <w:rPr>
      <w:rFonts w:ascii="Times New Roman" w:hAnsi="Times New Roman" w:eastAsia="宋体" w:cs="Times New Roman"/>
      <w:sz w:val="18"/>
      <w:szCs w:val="18"/>
    </w:rPr>
  </w:style>
  <w:style w:type="character" w:customStyle="1" w:styleId="31">
    <w:name w:val="批注框文本 Char"/>
    <w:basedOn w:val="19"/>
    <w:link w:val="13"/>
    <w:semiHidden/>
    <w:qFormat/>
    <w:uiPriority w:val="99"/>
    <w:rPr>
      <w:rFonts w:ascii="Times New Roman" w:hAnsi="Times New Roman" w:eastAsia="宋体" w:cs="Times New Roman"/>
      <w:sz w:val="18"/>
      <w:szCs w:val="18"/>
    </w:rPr>
  </w:style>
  <w:style w:type="paragraph" w:customStyle="1" w:styleId="32">
    <w:name w:val="TOC 标题1"/>
    <w:basedOn w:val="3"/>
    <w:next w:val="1"/>
    <w:unhideWhenUsed/>
    <w:qFormat/>
    <w:uiPriority w:val="39"/>
    <w:pPr>
      <w:widowControl/>
      <w:spacing w:before="240" w:line="259" w:lineRule="auto"/>
      <w:jc w:val="left"/>
      <w:outlineLvl w:val="9"/>
    </w:pPr>
    <w:rPr>
      <w:rFonts w:asciiTheme="majorHAnsi" w:hAnsiTheme="majorHAnsi" w:eastAsiaTheme="majorEastAsia" w:cstheme="majorBidi"/>
      <w:bCs w:val="0"/>
      <w:color w:val="2F5496" w:themeColor="accent1" w:themeShade="BF"/>
      <w:kern w:val="0"/>
      <w:szCs w:val="32"/>
    </w:rPr>
  </w:style>
  <w:style w:type="character" w:customStyle="1" w:styleId="33">
    <w:name w:val="文档结构图 Char"/>
    <w:basedOn w:val="19"/>
    <w:link w:val="9"/>
    <w:semiHidden/>
    <w:qFormat/>
    <w:uiPriority w:val="99"/>
    <w:rPr>
      <w:rFonts w:ascii="宋体" w:hAnsi="Times New Roman" w:eastAsia="宋体" w:cs="Times New Roman"/>
      <w:sz w:val="18"/>
      <w:szCs w:val="18"/>
    </w:rPr>
  </w:style>
  <w:style w:type="paragraph" w:customStyle="1" w:styleId="34">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5">
    <w:name w:val="font01"/>
    <w:basedOn w:val="19"/>
    <w:qFormat/>
    <w:uiPriority w:val="0"/>
    <w:rPr>
      <w:rFonts w:hint="eastAsia" w:ascii="宋体" w:hAnsi="宋体" w:eastAsia="宋体" w:cs="宋体"/>
      <w:color w:val="000000"/>
      <w:sz w:val="24"/>
      <w:szCs w:val="24"/>
      <w:u w:val="none"/>
    </w:rPr>
  </w:style>
  <w:style w:type="character" w:customStyle="1" w:styleId="36">
    <w:name w:val="font11"/>
    <w:basedOn w:val="19"/>
    <w:qFormat/>
    <w:uiPriority w:val="0"/>
    <w:rPr>
      <w:rFonts w:hint="default" w:ascii="Arial" w:hAnsi="Arial" w:cs="Arial"/>
      <w:color w:val="000000"/>
      <w:sz w:val="24"/>
      <w:szCs w:val="24"/>
      <w:u w:val="none"/>
    </w:rPr>
  </w:style>
  <w:style w:type="character" w:customStyle="1" w:styleId="37">
    <w:name w:val="font41"/>
    <w:basedOn w:val="19"/>
    <w:qFormat/>
    <w:uiPriority w:val="0"/>
    <w:rPr>
      <w:rFonts w:hint="eastAsia" w:ascii="宋体" w:hAnsi="宋体" w:eastAsia="宋体" w:cs="宋体"/>
      <w:color w:val="000000"/>
      <w:sz w:val="24"/>
      <w:szCs w:val="24"/>
      <w:u w:val="none"/>
    </w:rPr>
  </w:style>
  <w:style w:type="character" w:customStyle="1" w:styleId="38">
    <w:name w:val="副标题 Char"/>
    <w:basedOn w:val="19"/>
    <w:link w:val="17"/>
    <w:uiPriority w:val="11"/>
    <w:rPr>
      <w:rFonts w:eastAsia="楷体_GB2312"/>
      <w:bCs/>
      <w:kern w:val="28"/>
      <w:sz w:val="32"/>
      <w:szCs w:val="32"/>
    </w:rPr>
  </w:style>
  <w:style w:type="paragraph" w:styleId="39">
    <w:name w:val="List Paragraph"/>
    <w:basedOn w:val="1"/>
    <w:unhideWhenUsed/>
    <w:uiPriority w:val="99"/>
    <w:pPr>
      <w:ind w:firstLine="420"/>
    </w:pPr>
  </w:style>
  <w:style w:type="character" w:customStyle="1" w:styleId="40">
    <w:name w:val="批注文字 Char"/>
    <w:basedOn w:val="19"/>
    <w:link w:val="8"/>
    <w:semiHidden/>
    <w:uiPriority w:val="99"/>
    <w:rPr>
      <w:rFonts w:eastAsia="仿宋_GB2312"/>
      <w:kern w:val="2"/>
      <w:sz w:val="32"/>
      <w:szCs w:val="24"/>
    </w:rPr>
  </w:style>
  <w:style w:type="character" w:customStyle="1" w:styleId="41">
    <w:name w:val="批注主题 Char"/>
    <w:basedOn w:val="40"/>
    <w:link w:val="7"/>
    <w:uiPriority w:val="0"/>
    <w:rPr>
      <w:rFonts w:eastAsia="仿宋_GB2312"/>
      <w:kern w:val="2"/>
      <w:sz w:val="32"/>
      <w:szCs w:val="24"/>
    </w:rPr>
  </w:style>
  <w:style w:type="paragraph" w:customStyle="1" w:styleId="42">
    <w:name w:val="TOC Heading"/>
    <w:basedOn w:val="3"/>
    <w:next w:val="1"/>
    <w:unhideWhenUsed/>
    <w:qFormat/>
    <w:uiPriority w:val="39"/>
    <w:pPr>
      <w:keepNext/>
      <w:keepLines/>
      <w:widowControl/>
      <w:spacing w:before="240" w:line="259" w:lineRule="auto"/>
      <w:ind w:firstLine="0" w:firstLineChars="0"/>
      <w:jc w:val="left"/>
      <w:outlineLvl w:val="9"/>
    </w:pPr>
    <w:rPr>
      <w:rFonts w:asciiTheme="majorHAnsi" w:hAnsiTheme="majorHAnsi" w:eastAsiaTheme="majorEastAsia" w:cstheme="majorBidi"/>
      <w:bCs w:val="0"/>
      <w:color w:val="2F5496" w:themeColor="accent1" w:themeShade="BF"/>
      <w:kern w:val="0"/>
      <w:szCs w:val="32"/>
    </w:rPr>
  </w:style>
  <w:style w:type="character" w:customStyle="1" w:styleId="43">
    <w:name w:val="日期 Char"/>
    <w:basedOn w:val="19"/>
    <w:link w:val="12"/>
    <w:semiHidden/>
    <w:uiPriority w:val="99"/>
    <w:rPr>
      <w:rFonts w:eastAsia="仿宋_GB2312"/>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1BD487-76F1-425E-B461-9BDF7657B895}">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702</Words>
  <Characters>4002</Characters>
  <Lines>33</Lines>
  <Paragraphs>9</Paragraphs>
  <TotalTime>1</TotalTime>
  <ScaleCrop>false</ScaleCrop>
  <LinksUpToDate>false</LinksUpToDate>
  <CharactersWithSpaces>4695</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2019-09-10T06:01:00Z</dcterms:created>
  <dc:creator>13502645754@163.com</dc:creator>
  <cp:lastModifiedBy>小</cp:lastModifiedBy>
  <cp:lastPrinted>2019-09-30T05:01:00Z</cp:lastPrinted>
  <dcterms:modified xsi:type="dcterms:W3CDTF">2020-10-09T07:24:49Z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