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178"/>
        <w:gridCol w:w="6"/>
      </w:tblGrid>
      <w:tr w:rsidR="00115845" w:rsidRPr="003C4E6E" w:rsidTr="00115845">
        <w:trPr>
          <w:trHeight w:val="6000"/>
        </w:trPr>
        <w:tc>
          <w:tcPr>
            <w:tcW w:w="0" w:type="auto"/>
            <w:hideMark/>
          </w:tcPr>
          <w:p w:rsidR="00115845" w:rsidRPr="00A779E1" w:rsidRDefault="006C0242" w:rsidP="00115845">
            <w:pPr>
              <w:widowControl/>
              <w:spacing w:before="100" w:beforeAutospacing="1" w:after="100" w:afterAutospacing="1"/>
              <w:jc w:val="center"/>
              <w:rPr>
                <w:rFonts w:asciiTheme="majorEastAsia" w:eastAsiaTheme="majorEastAsia" w:hAnsiTheme="majorEastAsia" w:cs="宋体"/>
                <w:b/>
                <w:kern w:val="0"/>
                <w:sz w:val="44"/>
                <w:szCs w:val="44"/>
              </w:rPr>
            </w:pPr>
            <w:r w:rsidRPr="00A779E1">
              <w:rPr>
                <w:rFonts w:asciiTheme="majorEastAsia" w:eastAsiaTheme="majorEastAsia" w:hAnsiTheme="majorEastAsia" w:cs="宋体"/>
                <w:b/>
                <w:kern w:val="0"/>
                <w:sz w:val="44"/>
                <w:szCs w:val="44"/>
              </w:rPr>
              <w:t>中华人民共和国老年人权益保障法</w:t>
            </w:r>
          </w:p>
          <w:tbl>
            <w:tblPr>
              <w:tblW w:w="5000" w:type="pct"/>
              <w:jc w:val="center"/>
              <w:tblCellMar>
                <w:left w:w="0" w:type="dxa"/>
                <w:right w:w="0" w:type="dxa"/>
              </w:tblCellMar>
              <w:tblLook w:val="04A0"/>
            </w:tblPr>
            <w:tblGrid>
              <w:gridCol w:w="9178"/>
            </w:tblGrid>
            <w:tr w:rsidR="00115845" w:rsidRPr="003C4E6E" w:rsidTr="00115845">
              <w:trPr>
                <w:trHeight w:val="300"/>
                <w:jc w:val="center"/>
              </w:trPr>
              <w:tc>
                <w:tcPr>
                  <w:tcW w:w="0" w:type="auto"/>
                  <w:vAlign w:val="center"/>
                  <w:hideMark/>
                </w:tcPr>
                <w:p w:rsidR="00115845" w:rsidRPr="003C4E6E" w:rsidRDefault="00115845" w:rsidP="00115845">
                  <w:pPr>
                    <w:widowControl/>
                    <w:jc w:val="left"/>
                    <w:rPr>
                      <w:rFonts w:asciiTheme="minorEastAsia" w:hAnsiTheme="minorEastAsia" w:cs="宋体"/>
                      <w:kern w:val="0"/>
                      <w:sz w:val="32"/>
                      <w:szCs w:val="32"/>
                    </w:rPr>
                  </w:pPr>
                </w:p>
              </w:tc>
            </w:tr>
          </w:tbl>
          <w:p w:rsidR="00115845" w:rsidRPr="003C4E6E" w:rsidRDefault="00115845" w:rsidP="00115845">
            <w:pPr>
              <w:widowControl/>
              <w:jc w:val="center"/>
              <w:rPr>
                <w:rFonts w:asciiTheme="minorEastAsia" w:hAnsiTheme="minorEastAsia" w:cs="宋体"/>
                <w:vanish/>
                <w:kern w:val="0"/>
                <w:sz w:val="32"/>
                <w:szCs w:val="32"/>
              </w:rPr>
            </w:pPr>
          </w:p>
          <w:tbl>
            <w:tblPr>
              <w:tblW w:w="5000" w:type="pct"/>
              <w:jc w:val="center"/>
              <w:tblCellMar>
                <w:left w:w="0" w:type="dxa"/>
                <w:right w:w="0" w:type="dxa"/>
              </w:tblCellMar>
              <w:tblLook w:val="04A0"/>
            </w:tblPr>
            <w:tblGrid>
              <w:gridCol w:w="9178"/>
            </w:tblGrid>
            <w:tr w:rsidR="00115845" w:rsidRPr="003C4E6E" w:rsidTr="00115845">
              <w:trPr>
                <w:jc w:val="center"/>
              </w:trPr>
              <w:tc>
                <w:tcPr>
                  <w:tcW w:w="0" w:type="auto"/>
                  <w:vAlign w:val="center"/>
                  <w:hideMark/>
                </w:tcPr>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根据2015年4月24日第十二届全国人民代表大会常务委员会第十四次会议《全国人民代表大会常务委员会关于修改（中华人民共和国电力法）等六部法律的决定》第二次修正)</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目录</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第一章 总则</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第二章 家庭赡养与扶养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第三章 社会保障</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第四章 社会服务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第五章 社会优待</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第六章 宜居环境</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第七章 参与社会发展</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第八章 法律责任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lastRenderedPageBreak/>
                    <w:t>第九章 附则</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第一章 总 则</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第一条 为了保障老年人合法权益，发展老龄事业，弘扬中华民族敬老、养老、助老的美德，根据宪法，制定本法。</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第二条 本法所称老年人是指六十周岁以上的公民。</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第三条 国家保障老年人依法享有的权益。老年人有从国家和社会获得物质帮助的权利，有享受社会服务和社会优待的权利，有参与社会发展和共享发展成果的权利。禁止歧视、侮辱、虐待或者遗弃老年人。</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第四条 积极应对人口老龄化是国家的一项长期战略任务。国家和社会应当采取措施，健全保障老年人权益的各项制度，逐步改善保障老年人生活、健康、安全以及参与社会发展的条件，实现老有所养、老有所医、老有所为、老有所学、老有所乐。</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第五条 国家建立多层次的社会保障体系，逐步提高对老年人的保障水平。国家建立和完善以居家为基础、社区为依托、机构为支撑的社会养老服务体系。倡导全社会优待老年人。</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第六条 各级人民政府应当将老龄事业纳入国民经济和社会发展规划，将老龄事业经费列入财政预算，建立稳定的经费保障机制，并鼓励社会各方面投入，使老龄事业与经济、社会协调发展。国务</w:t>
                  </w:r>
                  <w:r w:rsidRPr="003C4E6E">
                    <w:rPr>
                      <w:rFonts w:asciiTheme="minorEastAsia" w:hAnsiTheme="minorEastAsia" w:cs="宋体" w:hint="eastAsia"/>
                      <w:kern w:val="0"/>
                      <w:sz w:val="32"/>
                      <w:szCs w:val="32"/>
                    </w:rPr>
                    <w:lastRenderedPageBreak/>
                    <w:t>院制定国家老龄事业发展规划。县级以上地方人民政府根据国家老龄事业发展规划，制定本行政区域的老龄事业发展规划和年度计划。县级以上人民政府负责老龄工作的机构，负责组织、协调、指导、督促有关部门做好老年人权益保障工作。</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第七条 保障老年人合法权益是全社会的共同责任。国家机关、社会团体、企业事业单位和其他组织应当按照各自职责，做好老年人权益保障工作。基层群众性自治组织和依法设立的老年人组织应当反映老年人的要求，维护老年人合法权益，为老年人服务。提倡、鼓励义务为老年人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第八条 国家进行人口老龄化国情教育，增强全社会积极应对人口老龄化意识。全社会应当广泛开展敬老、养老、助老宣传教育活动，树立尊重、关心、帮助老年人的社会风尚。青少年组织、学校和幼儿园应当对青少年和儿童进行敬老、养老、助老的道德教育和维护老年人合法权益的法制教育。广播、电影、电视、报刊、网络等应当反映老年人的生活，开展维护老年人合法权益的宣传，为老年人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第九条 国家支持老龄科学研究，建立老年人状况统计调查和发布制度。</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第十条 各级人民政府和有关部门对维护老年人合法权益和敬老、养老、助老成绩显著的组织、家庭或者个人，对参与社会发展</w:t>
                  </w:r>
                  <w:r w:rsidRPr="003C4E6E">
                    <w:rPr>
                      <w:rFonts w:asciiTheme="minorEastAsia" w:hAnsiTheme="minorEastAsia" w:cs="宋体" w:hint="eastAsia"/>
                      <w:kern w:val="0"/>
                      <w:sz w:val="32"/>
                      <w:szCs w:val="32"/>
                    </w:rPr>
                    <w:lastRenderedPageBreak/>
                    <w:t>做出突出贡献的老年人，按照国家有关规定给予表彰或者奖励。</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第十一条 老年人应当遵纪守法，履行法律规定的义务。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第十二条 每年农历九月初九为老年节。</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第二章 家庭赡养与扶养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第十三条 老年人养老以居家为基础，家庭成员应当尊重、关心和照料老年人。</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第十四条 赡养人应当履行对老年人经济上供养、生活上照料和精神上慰藉的义务，照顾老年人的特殊需要。赡养人是指老年人的子女以及其他依法负有赡养义务的人。赡养人的配偶应当协助赡养人履行赡养义务。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第十五条 赡养人应当使患病的老年人及时得到治疗和护理;对经济困难的老年人，应当提供医疗费用。对生活不能自理的老年人，赡养人应当承担照料责任;不能亲自照料的，可以按照老年人的意愿委托他人或者养老机构等照料。</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第十六条 赡养人应当妥善安排老年人的住房，不得强迫老年人居住或者迁居条件低劣的房屋。老年人自有的或者承租的住房，子女或者其他亲属不得侵占，不得擅自改变产权关系或者租赁关系。老年人自有的住房，赡养人有维修的义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第十七条 赡养人有义务耕种或者委托他人耕种老年人承包的</w:t>
                  </w:r>
                  <w:r w:rsidRPr="003C4E6E">
                    <w:rPr>
                      <w:rFonts w:asciiTheme="minorEastAsia" w:hAnsiTheme="minorEastAsia" w:cs="宋体" w:hint="eastAsia"/>
                      <w:kern w:val="0"/>
                      <w:sz w:val="32"/>
                      <w:szCs w:val="32"/>
                    </w:rPr>
                    <w:lastRenderedPageBreak/>
                    <w:t>田地，照管或者委托他人照管老年人的林木和牲畜等，收益归老年人所有。</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第十八条 家庭成员应当关心老年人的精神需求，不得忽视、冷落老年人。与老年人分开居住的家庭成员，应当经常看望或者问候老年人。用人单位应当按照国家有关规定保障赡养人探亲休假的权利。</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第十九条 赡养人不得以放弃继承权或者其他理由，拒绝履行赡养义务。赡养人不履行赡养义务，老年人有要求赡养人付给赡养费等权利。赡养人不得要求老年人承担力不能及的劳动。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第二十条 经老年人同意，赡养人之间可以就履行赡养义务签订协议。赡养协议的内容不得违反法律的规定和老年人的意愿。基层群众性自治组织、老年人组织或者赡养人所在单位监督协议的履行。</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第二十一条 老年人的婚姻自由受法律保护。子女或者其他亲属不得干涉老年人离婚、再婚及婚后的生活。赡养人的赡养义务不因老年人的婚姻关系变化而消除。</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第二十二条 老年人对个人的财产，依法享有占有、使用、收益和处分的权利，子女或者其他亲属不得干涉，不得以窃取、骗取、强行索取等方式侵犯老年人的财产权益。老年人有依法继承父母、配偶、子女或者其他亲属遗产的权利，有接受赠与的权利。子女或</w:t>
                  </w:r>
                  <w:r w:rsidRPr="003C4E6E">
                    <w:rPr>
                      <w:rFonts w:asciiTheme="minorEastAsia" w:hAnsiTheme="minorEastAsia" w:cs="宋体" w:hint="eastAsia"/>
                      <w:kern w:val="0"/>
                      <w:sz w:val="32"/>
                      <w:szCs w:val="32"/>
                    </w:rPr>
                    <w:lastRenderedPageBreak/>
                    <w:t>者其他亲属不得侵占、抢夺、转移、隐匿或者损毁应当由老年人继承或者接受赠与的财产。老年人以遗嘱处分财产，应当依法为老年配偶保留必要的份额。</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第二十三条 老年人与配偶有相互扶养的义务。由兄、姐扶养的弟、妹成年后，有负担能力的，对年老无赡养人的兄、姐有扶养的义务。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第二十四条 赡养人、扶养人不履行赡养、扶养义务的，基层群众性自治组织、老年人组织或者赡养人、扶养人所在单位应当督促其履行。</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第二十五条 禁止对老年人实施家庭暴力。</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第二十六条 具备完全民事行为能力的老年人，可以在近亲属或者其他与自己关系密切、愿意承担监护责任的个人、组织中协商确定自己的监护人。监护人在老年人丧失或者部分丧失民事行为能力时，依法承担监护责任。老年人未事先确定监护人的，其丧失或者部分丧失民事行为能力时，依照有关法律的规定确定监护人。</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第二十七条 国家建立健全家庭养老支持政策，鼓励家庭成员与老年人共同生活或者就近居住，为老年人随配偶或者赡养人迁徙提供条件，为家庭成员照料老年人提供帮助。</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第三章 社会保障</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lastRenderedPageBreak/>
                    <w:t>第二十八条 国家通过基本养老保险制度，保障老年人的基本生活。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有关部门制定医疗保险办法，应当对老年人给予照顾。</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第三十条 国家逐步开展长期护理保障工作，保障老年人的护理需求。对生活长期不能自理、经济困难的老年人，地方各级人民政府应当根据其失能程度等情况给予护理补贴。</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第三十一条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第三十二条 地方各级人民政府在实施廉租住房、公共租赁住房等住房保障制度或者进行危旧房屋改造时，应当优先照顾符合条件的老年人。</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第三十三条 国家建立和完善老年人福利制度，根据经济社会</w:t>
                  </w:r>
                  <w:r w:rsidRPr="003C4E6E">
                    <w:rPr>
                      <w:rFonts w:asciiTheme="minorEastAsia" w:hAnsiTheme="minorEastAsia" w:cs="宋体" w:hint="eastAsia"/>
                      <w:kern w:val="0"/>
                      <w:sz w:val="32"/>
                      <w:szCs w:val="32"/>
                    </w:rPr>
                    <w:lastRenderedPageBreak/>
                    <w:t>发展水平和老年人的实际需要，增加老年人的社会福利。国家鼓励地方建立八十周岁以上低收入老年人高龄津贴制度。国家建立和完善计划生育家庭老年人扶助制度。农村可以将未承包的集体所有的部分土地、山林、水面、滩涂等作为养老基地，收益供老年人养老。</w:t>
                  </w:r>
                </w:p>
                <w:p w:rsidR="00115845" w:rsidRPr="003C4E6E" w:rsidRDefault="00115845" w:rsidP="00115845">
                  <w:pPr>
                    <w:widowControl/>
                    <w:spacing w:before="100" w:beforeAutospacing="1" w:after="100" w:afterAutospacing="1" w:line="480" w:lineRule="auto"/>
                    <w:ind w:firstLine="48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第三十四条 老年人依法享有的养老金、医疗待遇和其他待遇应当得到保障，有关机构必须按时足额支付，不得克扣、拖欠或者挪用。国家根据经济发展以及职工平均工资增长、物价上涨等情况，适时提高养老保障水平。</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第三十五条 国家鼓励慈善组织以及其他组织和个人为老年人提供物质帮助。</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第三十六条 老年人可以与集体经济组织、基层群众性自治组织、养老机构等组织或者个人签订遗赠扶养协议或者其他扶助协议。负有扶养义务的组织或者个人按照遗赠扶养协议，承担该老年人生养死葬的义务，享有受遗赠的权利。</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第四章 社会服务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第三十七条 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lastRenderedPageBreak/>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发扬邻里互助的传统，提倡邻里间关心、帮助有困难的老年人。鼓励慈善组织、志愿者为老年人服务。倡导老年人互助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第三十九条 各级人民政府应当根据经济发展水平和老年人服务需求，逐步增加对养老服务的投入。各级人民政府和有关部门在财政、税费、土地、融资等方面采取措施，鼓励、扶持企业事业单位、社会组织或者个人兴办、运营养老、老年人日间照料、老年文化体育活动等设施。</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第四十条 地方各级人民政府和有关部门应当按照老年人口比例及分布情况，将养老服务设施建设纳入城乡规划和土地利用总体规划，统筹安排养老服务设施建设用地及所需物资。公益性养老服务设施用地，可以依法使用国有划拨土地或者农民集体所有的土地。养老服务设施用地，非经法定程序不得改变用途。</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第四十一条 政府投资兴办的养老机构，应当优先保障经济困难的孤寡、失能、高龄等老年人的服务需求。</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第四十二条 国务院有关部门制定养老服务设施建设、养老服务质量和养老服务职业等标准，建立健全养老机构分类管理和养老服务评估制度。各级人民政府应当规范养老服务收费项目和标准，</w:t>
                  </w:r>
                  <w:r w:rsidRPr="003C4E6E">
                    <w:rPr>
                      <w:rFonts w:asciiTheme="minorEastAsia" w:hAnsiTheme="minorEastAsia" w:cs="宋体" w:hint="eastAsia"/>
                      <w:kern w:val="0"/>
                      <w:sz w:val="32"/>
                      <w:szCs w:val="32"/>
                    </w:rPr>
                    <w:lastRenderedPageBreak/>
                    <w:t>加强监督和管理。</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第四十三条 设立养老机构，应当符合下列条件：</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(一)有自己的名称、住所和章程;</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(二)有与服务内容和规模相适应的资金;</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(三)有符合相关资格条件的管理人员、专业技术人员和服务人员;</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(四)有基本的生活用房、设施设备和活动场地;</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(五)法律、法规规定的其他条件。</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第四十四条 设立公益性养老机构应当向县级以上人民政府民政部门申请行政许可;经许可的，依法办理相应的登记。设立经营性养老机构应当在工商行政管理部门办理登记后，向县级以上人民政府民政部门申请行政许可。县级以上人民政府民政部门负责养老机构的指导、监督和管理，其他有关部门依照职责分工对养老机构实施监督。</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第四十五条 养老机构变更或者终止的，应当妥善安置收住的老年人，并依照规定到有关部门办理手续。有关部门应当为养老机构妥善安置老年人提供帮助。</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第四十六条 国家建立健全养老服务人才培养、使用、评价和</w:t>
                  </w:r>
                  <w:r w:rsidRPr="003C4E6E">
                    <w:rPr>
                      <w:rFonts w:asciiTheme="minorEastAsia" w:hAnsiTheme="minorEastAsia" w:cs="宋体" w:hint="eastAsia"/>
                      <w:kern w:val="0"/>
                      <w:sz w:val="32"/>
                      <w:szCs w:val="32"/>
                    </w:rPr>
                    <w:lastRenderedPageBreak/>
                    <w:t>激励制度，依法规范用工，促进从业人员劳动报酬合理增长，发展专职、兼职和志愿者相结合的养老服务队伍。国家鼓励高等学校、中等职业学校和职业培训机构设置相关专业或者培训项目，培养养老服务专业人才。</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第四十七条 养老机构应当与接受服务的老年人或者其代理人签订服务协议，明确双方的权利、义务。养老机构及其工作人员不得以任何方式侵害老年人的权益。</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第四十八条 国家鼓励养老机构投保责任保险，鼓励保险公司承保责任保险。</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第四十九条 各级人民政府和有关部门应当将老年医疗卫生服务纳入城乡医疗卫生服务规划，将老年人健康管理和常见病预防等纳入国家基本公共卫生服务项目。鼓励为老年人提供保健、护理、临终关怀等服务。国家鼓励医疗机构开设针对老年病的专科或者门诊。医疗卫生机构应当开展老年人的健康服务和疾病防治工作。</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第五十条 国家采取措施，加强老年医学的研究和人才培养，提高老年病的预防、治疗、科研水平，促进老年病的早期发现、诊断和治疗。国家和社会采取措施，开展各种形式的健康教育，普及老年保健知识，增强老年人自我保健意识。</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第五十一条 国家采取措施，发展老龄产业，将老龄产业列入国家扶持行业目录。扶持和引导企业开发、生产、经营适应老年人</w:t>
                  </w:r>
                  <w:r w:rsidRPr="003C4E6E">
                    <w:rPr>
                      <w:rFonts w:asciiTheme="minorEastAsia" w:hAnsiTheme="minorEastAsia" w:cs="宋体" w:hint="eastAsia"/>
                      <w:kern w:val="0"/>
                      <w:sz w:val="32"/>
                      <w:szCs w:val="32"/>
                    </w:rPr>
                    <w:lastRenderedPageBreak/>
                    <w:t>需要的用品和提供相关的服务。</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第五章 社会优待</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第五十二条 县级以上人民政府及其有关部门根据经济社会发展情况和老年人的特殊需要，制定优待老年人的办法，逐步提高优待水平。对常住在本行政区域内的外埠老年人给予同等优待。</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第五十三条 各级人民政府和有关部门应当为老年人及时、便利地领取养老金、结算医疗费和享受其他物质帮助提供条件。</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第五十四条 各级人民政府和有关部门办理房屋权属关系变更、户口迁移等涉及老年人权益的重大事项时，应当就办理事项是否为老年人的真实意思表示进行询问，并依法优先办理。</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第五十五条 老年人因其合法权益受侵害提起诉讼交纳诉讼费确有困难的，可以缓交、减交或者免交;需要获得律师帮助，但无力支付律师费用的，可以获得法律援助。鼓励律师事务所、公证处、基层法律服务所和其他法律服务机构为经济困难的老年人提供免费或者优惠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第五十六条 医疗机构应当为老年人就医提供方便，对老年人就医予以优先。有条件的地方，可以为老年人设立家庭病床，开展巡回医疗、护理、康复、免费体检等服务。提倡为老年人义诊。</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第五十七条 提倡与老年人日常生活密切相关的服务行业为老</w:t>
                  </w:r>
                  <w:r w:rsidRPr="003C4E6E">
                    <w:rPr>
                      <w:rFonts w:asciiTheme="minorEastAsia" w:hAnsiTheme="minorEastAsia" w:cs="宋体" w:hint="eastAsia"/>
                      <w:kern w:val="0"/>
                      <w:sz w:val="32"/>
                      <w:szCs w:val="32"/>
                    </w:rPr>
                    <w:lastRenderedPageBreak/>
                    <w:t>年人提供优先、优惠服务。城市公共交通、公路、铁路、水路和航空客运，应当为老年人提供优待和照顾。</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第五十八条 博物馆、美术馆、科技馆、纪念馆、公共图书馆、文化馆、影剧院、体育场馆、公园、旅游景点等场所，应当对老年人免费或者优惠开放。</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第五十九条 农村老年人不承担兴办公益事业的筹劳义务。</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第六章 宜居环境</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第六十条 国家采取措施，推进宜居环境建设，为老年人提供安全、便利和舒适的环境。</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第六十一条 各级人民政府在制定城乡规划时，应当根据人口老龄化发展趋势、老年人口分布和老年人的特点，统筹考虑适合老年人的公共基础设施、生活服务设施、医疗卫生设施和文化体育设施建设。</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第六十二条 国家制定和完善涉及老年人的工程建设标准体系，在规划、设计、施工、监理、验收、运行、维护、管理等环节加强相关标准的实施与监督。</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第六十三条 国家制定无障碍设施工程建设标准。新建、改建和扩建道路、公共交通设施、建筑物、居住区等，应当符合国家无障碍设施工程建设标准。各级人民政府和有关部门应当按照国家无</w:t>
                  </w:r>
                  <w:r w:rsidRPr="003C4E6E">
                    <w:rPr>
                      <w:rFonts w:asciiTheme="minorEastAsia" w:hAnsiTheme="minorEastAsia" w:cs="宋体" w:hint="eastAsia"/>
                      <w:kern w:val="0"/>
                      <w:sz w:val="32"/>
                      <w:szCs w:val="32"/>
                    </w:rPr>
                    <w:lastRenderedPageBreak/>
                    <w:t>障碍设施工程建设标准，优先推进与老年人日常生活密切相关的公共服务设施的改造。无障碍设施的所有人和管理人应当保障无障碍设施正常使用。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第六十四条 国家推动老年宜居社区建设，引导、支持老年宜居住宅的开发，推动和扶持老年人家庭无障碍设施的改造，为老年人创造无障碍居住环境。</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第七章 参与社会发展</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第六十五条 国家和社会应当重视、珍惜老年人的知识、技能、经验和优良品德，发挥老年人的专长和作用，保障老年人参与经济、政治、文化和社会生活。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第六十六条 老年人可以通过老年人组织，开展有益身心健康的活动。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第六十七条 制定法律、法规、规章和公共政策，涉及老年人权益重大问题的，应当听取老年人和老年人组织的意见。老年人和老年人组织有权向国家机关提出老年人权益保障、老龄事业发展等方面的意见和建议。</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第六十八条 国家为老年人参与社会发展创造条件。根据社会需要和可能，鼓励老年人在自愿和量力的情况下，从事下列活动：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(一)对青少年和儿童进行社会主义、爱国主义、集体主义和艰</w:t>
                  </w:r>
                  <w:r w:rsidRPr="003C4E6E">
                    <w:rPr>
                      <w:rFonts w:asciiTheme="minorEastAsia" w:hAnsiTheme="minorEastAsia" w:cs="宋体" w:hint="eastAsia"/>
                      <w:kern w:val="0"/>
                      <w:sz w:val="32"/>
                      <w:szCs w:val="32"/>
                    </w:rPr>
                    <w:lastRenderedPageBreak/>
                    <w:t>苦奋斗等优良传统教育;</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(二)传授文化和科技知识;</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(三)提供咨询服务;</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(四)依法参与科技开发和应用;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(五)依法从事经营和生产活动;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(六)参加志愿服务、兴办社会公益事业;</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(七)参与维护社会治安、协助调解民间纠纷;</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(八)参加其他社会活动。</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第六十九条 老年人参加劳动的合法收入受法律保护。任何单位和个人不得安排老年人从事危害其身心健康的劳动或者危险作业。</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第七十条 老年人有继续受教育的权利。国家发展老年教育，把老年教育纳入终身教育体系，鼓励社会办好各类老年学校。各级人民政府对老年教育应当加强领导，统一规划，加大投入。</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第七十一条 国家和社会采取措施，开展适合老年人的群众性文化、体育、娱乐活动，丰富老年人的精神文化生活。</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t>第八章 法律责任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lastRenderedPageBreak/>
                    <w:t>第七十二条 老年人合法权益受到侵害的，被侵害人或者其代理人有权要求有关部门处理，或者依法向人民法院提起诉讼。人民法院和有关部门，对侵犯老年人合法权益的申诉、控告和检举，应当依法及时受理，不得推诿、拖延。</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第七十三条 不履行保护老年人合法权益职责的部门或者组织，其上级主管部门应当给予批评教育，责令改正。国家工作人员违法失职，致使老年人合法权益受到损害的，由其所在单位或者上级机关责令改正，或者依法给予处分;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第七十四条 老年人与家庭成员因赡养、扶养或者住房、财产等发生纠纷，可以申请人民调解委员会或者其他有关组织进行调解，也可以直接向人民法院提起诉讼。人民调解委员会或者其他有关组织调解前款纠纷时，应当通过说服、疏导等方式化解矛盾和纠纷;对有过错的家庭成员，应当给予批评教育。人民法院对老年人追索赡养费或者扶养费的申请，可以依法裁定先予执行。</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第七十五条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第七十六条 家庭成员盗窃、诈骗、抢夺、侵占、勒索、故意损毁老年人财物，构成违反治安管理行为的，依法给予治安管理处</w:t>
                  </w:r>
                  <w:r w:rsidRPr="003C4E6E">
                    <w:rPr>
                      <w:rFonts w:asciiTheme="minorEastAsia" w:hAnsiTheme="minorEastAsia" w:cs="宋体" w:hint="eastAsia"/>
                      <w:kern w:val="0"/>
                      <w:sz w:val="32"/>
                      <w:szCs w:val="32"/>
                    </w:rPr>
                    <w:lastRenderedPageBreak/>
                    <w:t>罚;构成犯罪的，依法追究刑事责任。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第七十七条 侮辱、诽谤老年人，构成违反治安管理行为的，依法给予治安管理处罚;构成犯罪的，依法追究刑事责任。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第七十九条 养老机构及其工作人员侵害老年人人身和财产权益，或者未按照约定提供服务的，依法承担民事责任;有关主管部门依法给予行政处罚;构成犯罪的，依法追究刑事责任。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第八十条 对养老机构负有管理和监督职责的部门及其工作人员滥用职权、玩忽职守、徇私舞弊的，对直接负责的主管人员和其他直接责任人员依法给予处分;构成犯罪的，依法追究刑事责任。</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第八十一条 不按规定履行优待老年人义务的，由有关主管部门责令改正。</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rsidR="00115845" w:rsidRPr="003C4E6E" w:rsidRDefault="00115845" w:rsidP="00115845">
                  <w:pPr>
                    <w:widowControl/>
                    <w:spacing w:before="100" w:beforeAutospacing="1" w:after="100" w:afterAutospacing="1" w:line="480" w:lineRule="auto"/>
                    <w:ind w:firstLine="480"/>
                    <w:jc w:val="center"/>
                    <w:rPr>
                      <w:rFonts w:asciiTheme="minorEastAsia" w:hAnsiTheme="minorEastAsia" w:cs="宋体"/>
                      <w:kern w:val="0"/>
                      <w:sz w:val="32"/>
                      <w:szCs w:val="32"/>
                    </w:rPr>
                  </w:pPr>
                  <w:r w:rsidRPr="003C4E6E">
                    <w:rPr>
                      <w:rFonts w:asciiTheme="minorEastAsia" w:hAnsiTheme="minorEastAsia" w:cs="宋体" w:hint="eastAsia"/>
                      <w:kern w:val="0"/>
                      <w:sz w:val="32"/>
                      <w:szCs w:val="32"/>
                    </w:rPr>
                    <w:lastRenderedPageBreak/>
                    <w:t>第九章 附则</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第八十三条 民族自治地方的人民代表大会，可以根据本法的原则，结合当地民族风俗习惯的具体情况，依照法定程序制定变通的或者补充的规定。</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第八十四条 本法施行前设立的养老机构不符合本法规定条件的，应当限期整改。具体办法由国务院民政部门制定。</w:t>
                  </w:r>
                </w:p>
                <w:p w:rsidR="00115845" w:rsidRPr="003C4E6E" w:rsidRDefault="00115845" w:rsidP="00CD19C1">
                  <w:pPr>
                    <w:widowControl/>
                    <w:spacing w:before="100" w:beforeAutospacing="1" w:after="100" w:afterAutospacing="1" w:line="480" w:lineRule="auto"/>
                    <w:ind w:firstLineChars="200" w:firstLine="640"/>
                    <w:jc w:val="left"/>
                    <w:rPr>
                      <w:rFonts w:asciiTheme="minorEastAsia" w:hAnsiTheme="minorEastAsia" w:cs="宋体"/>
                      <w:kern w:val="0"/>
                      <w:sz w:val="32"/>
                      <w:szCs w:val="32"/>
                    </w:rPr>
                  </w:pPr>
                  <w:r w:rsidRPr="003C4E6E">
                    <w:rPr>
                      <w:rFonts w:asciiTheme="minorEastAsia" w:hAnsiTheme="minorEastAsia" w:cs="宋体" w:hint="eastAsia"/>
                      <w:kern w:val="0"/>
                      <w:sz w:val="32"/>
                      <w:szCs w:val="32"/>
                    </w:rPr>
                    <w:t>第八十五条 本法自2013年7月1日起施行。</w:t>
                  </w:r>
                </w:p>
              </w:tc>
            </w:tr>
          </w:tbl>
          <w:p w:rsidR="00115845" w:rsidRPr="003C4E6E" w:rsidRDefault="00115845" w:rsidP="00115845">
            <w:pPr>
              <w:widowControl/>
              <w:jc w:val="center"/>
              <w:rPr>
                <w:rFonts w:asciiTheme="minorEastAsia" w:hAnsiTheme="minorEastAsia" w:cs="宋体"/>
                <w:kern w:val="0"/>
                <w:sz w:val="32"/>
                <w:szCs w:val="32"/>
              </w:rPr>
            </w:pPr>
          </w:p>
        </w:tc>
        <w:tc>
          <w:tcPr>
            <w:tcW w:w="0" w:type="auto"/>
            <w:vAlign w:val="center"/>
            <w:hideMark/>
          </w:tcPr>
          <w:p w:rsidR="00115845" w:rsidRPr="003C4E6E" w:rsidRDefault="00115845" w:rsidP="00115845">
            <w:pPr>
              <w:widowControl/>
              <w:jc w:val="left"/>
              <w:rPr>
                <w:rFonts w:asciiTheme="minorEastAsia" w:hAnsiTheme="minorEastAsia" w:cs="宋体"/>
                <w:kern w:val="0"/>
                <w:sz w:val="32"/>
                <w:szCs w:val="32"/>
              </w:rPr>
            </w:pPr>
          </w:p>
        </w:tc>
      </w:tr>
    </w:tbl>
    <w:p w:rsidR="003B0467" w:rsidRPr="003C4E6E" w:rsidRDefault="003B0467">
      <w:pPr>
        <w:rPr>
          <w:rFonts w:asciiTheme="minorEastAsia" w:hAnsiTheme="minorEastAsia"/>
          <w:sz w:val="32"/>
          <w:szCs w:val="32"/>
        </w:rPr>
      </w:pPr>
    </w:p>
    <w:sectPr w:rsidR="003B0467" w:rsidRPr="003C4E6E" w:rsidSect="003C4E6E">
      <w:footerReference w:type="default" r:id="rId6"/>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39B" w:rsidRDefault="00A8139B" w:rsidP="00A44093">
      <w:r>
        <w:separator/>
      </w:r>
    </w:p>
  </w:endnote>
  <w:endnote w:type="continuationSeparator" w:id="1">
    <w:p w:rsidR="00A8139B" w:rsidRDefault="00A8139B" w:rsidP="00A44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804"/>
      <w:docPartObj>
        <w:docPartGallery w:val="Page Numbers (Bottom of Page)"/>
        <w:docPartUnique/>
      </w:docPartObj>
    </w:sdtPr>
    <w:sdtContent>
      <w:p w:rsidR="0012203B" w:rsidRDefault="007D30D3">
        <w:pPr>
          <w:pStyle w:val="a5"/>
          <w:jc w:val="center"/>
        </w:pPr>
        <w:fldSimple w:instr=" PAGE   \* MERGEFORMAT ">
          <w:r w:rsidR="00A779E1" w:rsidRPr="00A779E1">
            <w:rPr>
              <w:noProof/>
              <w:lang w:val="zh-CN"/>
            </w:rPr>
            <w:t>1</w:t>
          </w:r>
        </w:fldSimple>
      </w:p>
    </w:sdtContent>
  </w:sdt>
  <w:p w:rsidR="0012203B" w:rsidRDefault="001220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39B" w:rsidRDefault="00A8139B" w:rsidP="00A44093">
      <w:r>
        <w:separator/>
      </w:r>
    </w:p>
  </w:footnote>
  <w:footnote w:type="continuationSeparator" w:id="1">
    <w:p w:rsidR="00A8139B" w:rsidRDefault="00A8139B" w:rsidP="00A44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845"/>
    <w:rsid w:val="00115845"/>
    <w:rsid w:val="0012203B"/>
    <w:rsid w:val="002036BC"/>
    <w:rsid w:val="003B0467"/>
    <w:rsid w:val="003C4E6E"/>
    <w:rsid w:val="006C0242"/>
    <w:rsid w:val="00775D0F"/>
    <w:rsid w:val="007D30D3"/>
    <w:rsid w:val="008A09D6"/>
    <w:rsid w:val="00A44093"/>
    <w:rsid w:val="00A779E1"/>
    <w:rsid w:val="00A8139B"/>
    <w:rsid w:val="00C10879"/>
    <w:rsid w:val="00CD19C1"/>
    <w:rsid w:val="00E605B4"/>
    <w:rsid w:val="00EE6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115845"/>
  </w:style>
  <w:style w:type="character" w:customStyle="1" w:styleId="articlepublishdate">
    <w:name w:val="article_publishdate"/>
    <w:basedOn w:val="a0"/>
    <w:rsid w:val="00115845"/>
  </w:style>
  <w:style w:type="character" w:customStyle="1" w:styleId="wpvisitcount1">
    <w:name w:val="wp_visitcount1"/>
    <w:basedOn w:val="a0"/>
    <w:rsid w:val="00115845"/>
    <w:rPr>
      <w:vanish/>
      <w:webHidden w:val="0"/>
      <w:specVanish w:val="0"/>
    </w:rPr>
  </w:style>
  <w:style w:type="paragraph" w:styleId="a3">
    <w:name w:val="Normal (Web)"/>
    <w:basedOn w:val="a"/>
    <w:uiPriority w:val="99"/>
    <w:semiHidden/>
    <w:unhideWhenUsed/>
    <w:rsid w:val="0011584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44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44093"/>
    <w:rPr>
      <w:sz w:val="18"/>
      <w:szCs w:val="18"/>
    </w:rPr>
  </w:style>
  <w:style w:type="paragraph" w:styleId="a5">
    <w:name w:val="footer"/>
    <w:basedOn w:val="a"/>
    <w:link w:val="Char0"/>
    <w:uiPriority w:val="99"/>
    <w:unhideWhenUsed/>
    <w:rsid w:val="00A44093"/>
    <w:pPr>
      <w:tabs>
        <w:tab w:val="center" w:pos="4153"/>
        <w:tab w:val="right" w:pos="8306"/>
      </w:tabs>
      <w:snapToGrid w:val="0"/>
      <w:jc w:val="left"/>
    </w:pPr>
    <w:rPr>
      <w:sz w:val="18"/>
      <w:szCs w:val="18"/>
    </w:rPr>
  </w:style>
  <w:style w:type="character" w:customStyle="1" w:styleId="Char0">
    <w:name w:val="页脚 Char"/>
    <w:basedOn w:val="a0"/>
    <w:link w:val="a5"/>
    <w:uiPriority w:val="99"/>
    <w:rsid w:val="00A44093"/>
    <w:rPr>
      <w:sz w:val="18"/>
      <w:szCs w:val="18"/>
    </w:rPr>
  </w:style>
</w:styles>
</file>

<file path=word/webSettings.xml><?xml version="1.0" encoding="utf-8"?>
<w:webSettings xmlns:r="http://schemas.openxmlformats.org/officeDocument/2006/relationships" xmlns:w="http://schemas.openxmlformats.org/wordprocessingml/2006/main">
  <w:divs>
    <w:div w:id="1025134391">
      <w:bodyDiv w:val="1"/>
      <w:marLeft w:val="0"/>
      <w:marRight w:val="0"/>
      <w:marTop w:val="0"/>
      <w:marBottom w:val="0"/>
      <w:divBdr>
        <w:top w:val="none" w:sz="0" w:space="0" w:color="auto"/>
        <w:left w:val="none" w:sz="0" w:space="0" w:color="auto"/>
        <w:bottom w:val="none" w:sz="0" w:space="0" w:color="auto"/>
        <w:right w:val="none" w:sz="0" w:space="0" w:color="auto"/>
      </w:divBdr>
      <w:divsChild>
        <w:div w:id="636953457">
          <w:marLeft w:val="0"/>
          <w:marRight w:val="0"/>
          <w:marTop w:val="0"/>
          <w:marBottom w:val="0"/>
          <w:divBdr>
            <w:top w:val="none" w:sz="0" w:space="0" w:color="auto"/>
            <w:left w:val="none" w:sz="0" w:space="0" w:color="auto"/>
            <w:bottom w:val="none" w:sz="0" w:space="0" w:color="auto"/>
            <w:right w:val="none" w:sz="0" w:space="0" w:color="auto"/>
          </w:divBdr>
          <w:divsChild>
            <w:div w:id="1476993404">
              <w:marLeft w:val="0"/>
              <w:marRight w:val="0"/>
              <w:marTop w:val="0"/>
              <w:marBottom w:val="0"/>
              <w:divBdr>
                <w:top w:val="none" w:sz="0" w:space="0" w:color="auto"/>
                <w:left w:val="none" w:sz="0" w:space="0" w:color="auto"/>
                <w:bottom w:val="none" w:sz="0" w:space="0" w:color="auto"/>
                <w:right w:val="none" w:sz="0" w:space="0" w:color="auto"/>
              </w:divBdr>
              <w:divsChild>
                <w:div w:id="275912518">
                  <w:marLeft w:val="0"/>
                  <w:marRight w:val="0"/>
                  <w:marTop w:val="0"/>
                  <w:marBottom w:val="0"/>
                  <w:divBdr>
                    <w:top w:val="none" w:sz="0" w:space="0" w:color="auto"/>
                    <w:left w:val="none" w:sz="0" w:space="0" w:color="auto"/>
                    <w:bottom w:val="none" w:sz="0" w:space="0" w:color="auto"/>
                    <w:right w:val="none" w:sz="0" w:space="0" w:color="auto"/>
                  </w:divBdr>
                  <w:divsChild>
                    <w:div w:id="649141520">
                      <w:marLeft w:val="0"/>
                      <w:marRight w:val="0"/>
                      <w:marTop w:val="0"/>
                      <w:marBottom w:val="0"/>
                      <w:divBdr>
                        <w:top w:val="none" w:sz="0" w:space="0" w:color="auto"/>
                        <w:left w:val="none" w:sz="0" w:space="0" w:color="auto"/>
                        <w:bottom w:val="none" w:sz="0" w:space="0" w:color="auto"/>
                        <w:right w:val="none" w:sz="0" w:space="0" w:color="auto"/>
                      </w:divBdr>
                      <w:divsChild>
                        <w:div w:id="3863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2019-11-18T03:53:00Z</cp:lastPrinted>
  <dcterms:created xsi:type="dcterms:W3CDTF">2019-11-04T02:30:00Z</dcterms:created>
  <dcterms:modified xsi:type="dcterms:W3CDTF">2019-11-19T03:30:00Z</dcterms:modified>
</cp:coreProperties>
</file>