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2020年广州市花都区花山镇人民政府</w:t>
      </w:r>
    </w:p>
    <w:p>
      <w:pPr>
        <w:snapToGrid w:val="0"/>
        <w:spacing w:line="560" w:lineRule="exact"/>
        <w:jc w:val="center"/>
        <w:rPr>
          <w:rFonts w:ascii="方正小标宋简体" w:eastAsia="方正小标宋简体"/>
          <w:sz w:val="44"/>
          <w:szCs w:val="44"/>
        </w:rPr>
      </w:pPr>
      <w:r>
        <w:rPr>
          <w:rFonts w:hint="eastAsia" w:ascii="方正小标宋_GBK" w:hAnsi="方正小标宋_GBK" w:eastAsia="方正小标宋_GBK" w:cs="方正小标宋_GBK"/>
          <w:sz w:val="44"/>
          <w:szCs w:val="44"/>
        </w:rPr>
        <w:t>信息公开年度报告</w:t>
      </w:r>
    </w:p>
    <w:p>
      <w:pPr>
        <w:snapToGrid w:val="0"/>
        <w:spacing w:line="560" w:lineRule="exact"/>
        <w:rPr>
          <w:rFonts w:ascii="仿宋_GB2312" w:eastAsia="仿宋_GB2312"/>
          <w:sz w:val="32"/>
          <w:szCs w:val="32"/>
        </w:rPr>
      </w:pPr>
    </w:p>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一、总体情况</w:t>
      </w:r>
      <w:bookmarkStart w:id="0" w:name="_GoBack"/>
      <w:bookmarkEnd w:id="0"/>
    </w:p>
    <w:p>
      <w:pPr>
        <w:snapToGrid w:val="0"/>
        <w:spacing w:line="560" w:lineRule="exact"/>
        <w:rPr>
          <w:rFonts w:ascii="仿宋_GB2312" w:eastAsia="仿宋_GB2312"/>
          <w:sz w:val="32"/>
          <w:szCs w:val="32"/>
        </w:rPr>
      </w:pPr>
      <w:r>
        <w:rPr>
          <w:rFonts w:hint="eastAsia" w:ascii="仿宋_GB2312" w:eastAsia="仿宋_GB2312"/>
          <w:sz w:val="32"/>
          <w:szCs w:val="32"/>
        </w:rPr>
        <w:t>　　2020年以来，我镇认真贯彻落实省、市、区关于推行政府信息公开的各项工作部署，强化组织领导，健全工作机制，严格责任追究，平稳、有序地推进政府信息公开工作。全镇政府信息公开工作呈现出了公开渠道扩展到位，公开形式多样，公开力度加大的良好局面，有力的促进了全镇经济社会的科学和谐发展。现将我镇2020年政府信息公开工作报告如下：</w:t>
      </w:r>
    </w:p>
    <w:p>
      <w:pPr>
        <w:snapToGrid w:val="0"/>
        <w:spacing w:line="560" w:lineRule="exact"/>
        <w:rPr>
          <w:rFonts w:ascii="楷体_GB2312" w:eastAsia="楷体_GB2312"/>
          <w:sz w:val="32"/>
          <w:szCs w:val="32"/>
        </w:rPr>
      </w:pPr>
      <w:r>
        <w:rPr>
          <w:rFonts w:hint="eastAsia" w:ascii="仿宋_GB2312" w:eastAsia="仿宋_GB2312"/>
          <w:sz w:val="32"/>
          <w:szCs w:val="32"/>
        </w:rPr>
        <w:t>　　</w:t>
      </w:r>
      <w:r>
        <w:rPr>
          <w:rFonts w:hint="eastAsia" w:ascii="楷体_GB2312" w:eastAsia="楷体_GB2312"/>
          <w:sz w:val="32"/>
          <w:szCs w:val="32"/>
        </w:rPr>
        <w:t>（一）加强组织领导，创新工作格局</w:t>
      </w:r>
    </w:p>
    <w:p>
      <w:pPr>
        <w:snapToGrid w:val="0"/>
        <w:spacing w:line="560" w:lineRule="exact"/>
        <w:rPr>
          <w:rFonts w:ascii="仿宋_GB2312" w:eastAsia="仿宋_GB2312"/>
          <w:sz w:val="32"/>
          <w:szCs w:val="32"/>
        </w:rPr>
      </w:pPr>
      <w:r>
        <w:rPr>
          <w:rFonts w:hint="eastAsia" w:ascii="仿宋_GB2312" w:eastAsia="仿宋_GB2312"/>
          <w:sz w:val="32"/>
          <w:szCs w:val="32"/>
        </w:rPr>
        <w:t>　　我镇党委、政府高度重视政府信息公开工作，详细安排部署了我镇政府信息公开工作,实行专人负责制。专门成立由镇长任组长、党委副书记任副组长的政府信息公开领导小组，下设信息公开办公室，由党政办负责全镇政府信息公开工作的指导、安排和协调工作，安排一个专门的工作人员负责相关政府信息公开材料的收集，及时归档、整理归类，准确无误地在网上公开，完善栏目内容，使栏目内容得到不断更新、充实。同时，成立由人大、纪委及相关部门人员组成的政府信息公开监督小组，对政府信息公开工作进行日常监督。真正做到了机构常在、人员专职，工作长期抓、主动抓，形成“主要领导亲自抓，分管负责人具体抓，职能部门人员抓落实”的工作格局。</w:t>
      </w:r>
    </w:p>
    <w:p>
      <w:pPr>
        <w:snapToGrid w:val="0"/>
        <w:spacing w:line="56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（二）严格规范程序，完善长效机制</w:t>
      </w:r>
    </w:p>
    <w:p>
      <w:pPr>
        <w:snapToGrid w:val="0"/>
        <w:spacing w:line="560" w:lineRule="exact"/>
        <w:rPr>
          <w:rFonts w:ascii="仿宋_GB2312" w:eastAsia="仿宋_GB2312"/>
          <w:sz w:val="32"/>
          <w:szCs w:val="32"/>
        </w:rPr>
      </w:pPr>
      <w:r>
        <w:rPr>
          <w:rFonts w:hint="eastAsia" w:ascii="仿宋_GB2312" w:eastAsia="仿宋_GB2312"/>
          <w:sz w:val="32"/>
          <w:szCs w:val="32"/>
        </w:rPr>
        <w:t>　　政府信息作为一种严肃的信息，审查、上传也必须有严格的程序和步骤。我镇各职能部门在具体工作中坚持定期报送信息，对突发性事件，做到了随时按要求上报。需要公开的各种政府信息，由各部门起草提出公开属性的初步意见后，经镇党政办进行修改、初审，然后报分管领导复审、签字，由镇党委副书记进行最终审查和保密审查，最后由党政办政府公开信息员进行上传。在整个过程中，始终严格遵循“公开为原则、不公开为例外”的原则，始终严格执行信息公开审核制度、收集制度、依申请公开制度、监督考核制度、保密审查制度、年报告制度，不断完善了我镇政府信息公开工作“以制度管人、以制度谋事”的长效机制，做到“依法公开，真实公正，注重实效，有利监督”。</w:t>
      </w:r>
    </w:p>
    <w:p>
      <w:pPr>
        <w:snapToGrid w:val="0"/>
        <w:spacing w:line="56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（三）扩展载体建设，夯实公开阵地</w:t>
      </w:r>
    </w:p>
    <w:p>
      <w:pPr>
        <w:snapToGrid w:val="0"/>
        <w:spacing w:line="560" w:lineRule="exact"/>
        <w:rPr>
          <w:rFonts w:ascii="仿宋_GB2312" w:eastAsia="仿宋_GB2312"/>
          <w:sz w:val="32"/>
          <w:szCs w:val="32"/>
        </w:rPr>
      </w:pPr>
      <w:r>
        <w:rPr>
          <w:rFonts w:hint="eastAsia" w:ascii="仿宋_GB2312" w:eastAsia="仿宋_GB2312"/>
          <w:sz w:val="32"/>
          <w:szCs w:val="32"/>
        </w:rPr>
        <w:t>　　我镇已经公布在广东省网上办事大厅广州市花都分厅花山镇办事站的服务事项共有73项，涉及包括社会保障、培训就业、人口计生、住房管理、民政事务五个方面。公布的内容包括：事项名称、办理对象、办理条件、所需材料、办理流程、办理窗口及位置、办理时间、表格下载、收费标准以及文件依据等，办理人可以在网上了解所办理事项的各项信息，进一步为企业和群众办事提供方便。我镇在加大对政府信息公开网站建设力度的同时，充分利用政务中心LED显示屏、触摸屏、办事指南、告知单等公开载体，将各窗口单位的职能、事项办理依据、条件、程序、时限、收费标准、格式文本和联系人等信息向企业和群众公开，让前来办理的群众可以及时透明地了解所办理事项的各项信息与结果，优化了政务中心的服务水平，提高了群众对政务公开工作的满意度。</w:t>
      </w:r>
    </w:p>
    <w:p>
      <w:pPr>
        <w:shd w:val="solid" w:color="FFFFFF" w:fill="auto"/>
        <w:autoSpaceDN w:val="0"/>
        <w:spacing w:beforeLines="50" w:line="580" w:lineRule="exact"/>
        <w:ind w:firstLine="640" w:firstLineChars="200"/>
        <w:rPr>
          <w:b/>
          <w:sz w:val="24"/>
          <w:shd w:val="clear" w:color="auto" w:fill="FFFFFF"/>
        </w:rPr>
      </w:pPr>
      <w:r>
        <w:rPr>
          <w:rFonts w:eastAsia="黑体"/>
          <w:bCs/>
          <w:sz w:val="32"/>
          <w:shd w:val="clear" w:color="auto" w:fill="FFFFFF"/>
        </w:rPr>
        <w:t>二、主动公开政府信息情况</w:t>
      </w:r>
    </w:p>
    <w:tbl>
      <w:tblPr>
        <w:tblStyle w:val="6"/>
        <w:tblW w:w="8638"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18"/>
        <w:gridCol w:w="567"/>
        <w:gridCol w:w="1638"/>
        <w:gridCol w:w="201"/>
        <w:gridCol w:w="720"/>
        <w:gridCol w:w="1325"/>
        <w:gridCol w:w="22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2" w:hRule="atLeast"/>
          <w:jc w:val="center"/>
        </w:trPr>
        <w:tc>
          <w:tcPr>
            <w:tcW w:w="8638" w:type="dxa"/>
            <w:gridSpan w:val="7"/>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8" w:hRule="atLeast"/>
          <w:jc w:val="center"/>
        </w:trPr>
        <w:tc>
          <w:tcPr>
            <w:tcW w:w="1918"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信息内容</w:t>
            </w:r>
          </w:p>
        </w:tc>
        <w:tc>
          <w:tcPr>
            <w:tcW w:w="2205" w:type="dxa"/>
            <w:gridSpan w:val="2"/>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本年新制作数量</w:t>
            </w:r>
          </w:p>
        </w:tc>
        <w:tc>
          <w:tcPr>
            <w:tcW w:w="2246" w:type="dxa"/>
            <w:gridSpan w:val="3"/>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本年新公开数量</w:t>
            </w:r>
          </w:p>
        </w:tc>
        <w:tc>
          <w:tcPr>
            <w:tcW w:w="2269"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对外公开总数量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5" w:hRule="atLeast"/>
          <w:jc w:val="center"/>
        </w:trPr>
        <w:tc>
          <w:tcPr>
            <w:tcW w:w="1918"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规章</w:t>
            </w:r>
          </w:p>
        </w:tc>
        <w:tc>
          <w:tcPr>
            <w:tcW w:w="2205" w:type="dxa"/>
            <w:gridSpan w:val="2"/>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rFonts w:hint="eastAsia" w:eastAsia="宋体"/>
                <w:sz w:val="24"/>
                <w:shd w:val="clear" w:color="auto" w:fill="FFFFFF"/>
                <w:lang w:eastAsia="zh-CN"/>
              </w:rPr>
            </w:pPr>
            <w:r>
              <w:rPr>
                <w:rFonts w:hint="eastAsia"/>
                <w:sz w:val="24"/>
                <w:shd w:val="clear" w:color="auto" w:fill="FFFFFF"/>
                <w:lang w:val="en-US" w:eastAsia="zh-CN"/>
              </w:rPr>
              <w:t>0</w:t>
            </w:r>
          </w:p>
        </w:tc>
        <w:tc>
          <w:tcPr>
            <w:tcW w:w="2246" w:type="dxa"/>
            <w:gridSpan w:val="3"/>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rFonts w:hint="eastAsia" w:eastAsia="宋体"/>
                <w:sz w:val="24"/>
                <w:shd w:val="clear" w:color="auto" w:fill="FFFFFF"/>
                <w:lang w:eastAsia="zh-CN"/>
              </w:rPr>
            </w:pPr>
            <w:r>
              <w:rPr>
                <w:rFonts w:hint="eastAsia"/>
                <w:sz w:val="24"/>
                <w:shd w:val="clear" w:color="auto" w:fill="FFFFFF"/>
                <w:lang w:val="en-US" w:eastAsia="zh-CN"/>
              </w:rPr>
              <w:t>0</w:t>
            </w:r>
          </w:p>
        </w:tc>
        <w:tc>
          <w:tcPr>
            <w:tcW w:w="2269"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rFonts w:hint="eastAsia" w:eastAsia="宋体"/>
                <w:sz w:val="24"/>
                <w:shd w:val="clear" w:color="auto" w:fill="FFFFFF"/>
                <w:lang w:eastAsia="zh-CN"/>
              </w:rPr>
            </w:pPr>
            <w:r>
              <w:rPr>
                <w:rFonts w:hint="eastAsia"/>
                <w:sz w:val="24"/>
                <w:shd w:val="clear" w:color="auto" w:fill="FFFFFF"/>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8" w:hRule="atLeast"/>
          <w:jc w:val="center"/>
        </w:trPr>
        <w:tc>
          <w:tcPr>
            <w:tcW w:w="1918"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规范性文件</w:t>
            </w:r>
          </w:p>
        </w:tc>
        <w:tc>
          <w:tcPr>
            <w:tcW w:w="2205" w:type="dxa"/>
            <w:gridSpan w:val="2"/>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2246" w:type="dxa"/>
            <w:gridSpan w:val="3"/>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2269"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0" w:hRule="atLeast"/>
          <w:jc w:val="center"/>
        </w:trPr>
        <w:tc>
          <w:tcPr>
            <w:tcW w:w="8638" w:type="dxa"/>
            <w:gridSpan w:val="7"/>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6" w:hRule="atLeast"/>
          <w:jc w:val="center"/>
        </w:trPr>
        <w:tc>
          <w:tcPr>
            <w:tcW w:w="1918"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信息内容</w:t>
            </w:r>
          </w:p>
        </w:tc>
        <w:tc>
          <w:tcPr>
            <w:tcW w:w="2406" w:type="dxa"/>
            <w:gridSpan w:val="3"/>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上一年项目数量</w:t>
            </w:r>
          </w:p>
        </w:tc>
        <w:tc>
          <w:tcPr>
            <w:tcW w:w="2045" w:type="dxa"/>
            <w:gridSpan w:val="2"/>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本年增/减</w:t>
            </w:r>
          </w:p>
        </w:tc>
        <w:tc>
          <w:tcPr>
            <w:tcW w:w="2269"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5" w:hRule="atLeast"/>
          <w:jc w:val="center"/>
        </w:trPr>
        <w:tc>
          <w:tcPr>
            <w:tcW w:w="1918"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行政许可</w:t>
            </w:r>
          </w:p>
        </w:tc>
        <w:tc>
          <w:tcPr>
            <w:tcW w:w="2406" w:type="dxa"/>
            <w:gridSpan w:val="3"/>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c>
          <w:tcPr>
            <w:tcW w:w="2045" w:type="dxa"/>
            <w:gridSpan w:val="2"/>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c>
          <w:tcPr>
            <w:tcW w:w="2269" w:type="dxa"/>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1" w:hRule="atLeast"/>
          <w:jc w:val="center"/>
        </w:trPr>
        <w:tc>
          <w:tcPr>
            <w:tcW w:w="1918" w:type="dxa"/>
            <w:tcBorders>
              <w:tl2br w:val="nil"/>
              <w:tr2bl w:val="nil"/>
            </w:tcBorders>
            <w:tcMar>
              <w:top w:w="0" w:type="dxa"/>
              <w:left w:w="108" w:type="dxa"/>
              <w:bottom w:w="0" w:type="dxa"/>
              <w:right w:w="108" w:type="dxa"/>
            </w:tcMar>
            <w:vAlign w:val="center"/>
          </w:tcPr>
          <w:p>
            <w:pPr>
              <w:shd w:val="solid" w:color="FFFFFF" w:fill="auto"/>
              <w:autoSpaceDN w:val="0"/>
              <w:spacing w:line="360" w:lineRule="exact"/>
              <w:jc w:val="center"/>
              <w:rPr>
                <w:sz w:val="24"/>
                <w:shd w:val="clear" w:color="auto" w:fill="FFFFFF"/>
              </w:rPr>
            </w:pPr>
            <w:r>
              <w:rPr>
                <w:sz w:val="24"/>
                <w:shd w:val="clear" w:color="auto" w:fill="FFFFFF"/>
              </w:rPr>
              <w:t>其他对外管理服务事项</w:t>
            </w:r>
          </w:p>
        </w:tc>
        <w:tc>
          <w:tcPr>
            <w:tcW w:w="2406" w:type="dxa"/>
            <w:gridSpan w:val="3"/>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c>
          <w:tcPr>
            <w:tcW w:w="2045" w:type="dxa"/>
            <w:gridSpan w:val="2"/>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c>
          <w:tcPr>
            <w:tcW w:w="2269" w:type="dxa"/>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3" w:hRule="atLeast"/>
          <w:jc w:val="center"/>
        </w:trPr>
        <w:tc>
          <w:tcPr>
            <w:tcW w:w="8638" w:type="dxa"/>
            <w:gridSpan w:val="7"/>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2" w:hRule="atLeast"/>
          <w:jc w:val="center"/>
        </w:trPr>
        <w:tc>
          <w:tcPr>
            <w:tcW w:w="1918"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信息内容</w:t>
            </w:r>
          </w:p>
        </w:tc>
        <w:tc>
          <w:tcPr>
            <w:tcW w:w="2406" w:type="dxa"/>
            <w:gridSpan w:val="3"/>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上一年项目数量</w:t>
            </w:r>
          </w:p>
        </w:tc>
        <w:tc>
          <w:tcPr>
            <w:tcW w:w="2045" w:type="dxa"/>
            <w:gridSpan w:val="2"/>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本年增/减</w:t>
            </w:r>
          </w:p>
        </w:tc>
        <w:tc>
          <w:tcPr>
            <w:tcW w:w="2269"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2" w:hRule="atLeast"/>
          <w:jc w:val="center"/>
        </w:trPr>
        <w:tc>
          <w:tcPr>
            <w:tcW w:w="1918"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行政处罚</w:t>
            </w:r>
          </w:p>
        </w:tc>
        <w:tc>
          <w:tcPr>
            <w:tcW w:w="2406" w:type="dxa"/>
            <w:gridSpan w:val="3"/>
            <w:tcBorders>
              <w:tl2br w:val="nil"/>
              <w:tr2bl w:val="nil"/>
            </w:tcBorders>
            <w:tcMar>
              <w:top w:w="0" w:type="dxa"/>
              <w:left w:w="108" w:type="dxa"/>
              <w:bottom w:w="0" w:type="dxa"/>
              <w:right w:w="108" w:type="dxa"/>
            </w:tcMar>
            <w:vAlign w:val="center"/>
          </w:tcPr>
          <w:p>
            <w:pPr>
              <w:jc w:val="center"/>
              <w:rPr>
                <w:rFonts w:hint="eastAsia" w:eastAsia="宋体"/>
                <w:lang w:eastAsia="zh-CN"/>
              </w:rPr>
            </w:pPr>
            <w:r>
              <w:rPr>
                <w:rFonts w:hint="eastAsia"/>
                <w:sz w:val="24"/>
                <w:shd w:val="clear" w:color="auto" w:fill="FFFFFF"/>
                <w:lang w:val="en-US" w:eastAsia="zh-CN"/>
              </w:rPr>
              <w:t>9</w:t>
            </w:r>
          </w:p>
        </w:tc>
        <w:tc>
          <w:tcPr>
            <w:tcW w:w="2045" w:type="dxa"/>
            <w:gridSpan w:val="2"/>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c>
          <w:tcPr>
            <w:tcW w:w="2269" w:type="dxa"/>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0" w:hRule="atLeast"/>
          <w:jc w:val="center"/>
        </w:trPr>
        <w:tc>
          <w:tcPr>
            <w:tcW w:w="1918" w:type="dxa"/>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行政强制</w:t>
            </w:r>
          </w:p>
        </w:tc>
        <w:tc>
          <w:tcPr>
            <w:tcW w:w="2406" w:type="dxa"/>
            <w:gridSpan w:val="3"/>
            <w:tcBorders>
              <w:tl2br w:val="nil"/>
              <w:tr2bl w:val="nil"/>
            </w:tcBorders>
            <w:tcMar>
              <w:top w:w="0" w:type="dxa"/>
              <w:left w:w="108" w:type="dxa"/>
              <w:bottom w:w="0" w:type="dxa"/>
              <w:right w:w="108" w:type="dxa"/>
            </w:tcMar>
            <w:vAlign w:val="center"/>
          </w:tcPr>
          <w:p>
            <w:pPr>
              <w:jc w:val="center"/>
              <w:rPr>
                <w:rFonts w:hint="default" w:eastAsia="宋体"/>
                <w:lang w:val="en-US" w:eastAsia="zh-CN"/>
              </w:rPr>
            </w:pPr>
            <w:r>
              <w:rPr>
                <w:rFonts w:hint="eastAsia"/>
                <w:sz w:val="24"/>
                <w:shd w:val="clear" w:color="auto" w:fill="FFFFFF"/>
                <w:lang w:val="en-US" w:eastAsia="zh-CN"/>
              </w:rPr>
              <w:t>10</w:t>
            </w:r>
          </w:p>
        </w:tc>
        <w:tc>
          <w:tcPr>
            <w:tcW w:w="2045" w:type="dxa"/>
            <w:gridSpan w:val="2"/>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c>
          <w:tcPr>
            <w:tcW w:w="2269" w:type="dxa"/>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8" w:hRule="atLeast"/>
          <w:jc w:val="center"/>
        </w:trPr>
        <w:tc>
          <w:tcPr>
            <w:tcW w:w="8638" w:type="dxa"/>
            <w:gridSpan w:val="7"/>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8" w:hRule="atLeast"/>
          <w:jc w:val="center"/>
        </w:trPr>
        <w:tc>
          <w:tcPr>
            <w:tcW w:w="2485" w:type="dxa"/>
            <w:gridSpan w:val="2"/>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信息内容</w:t>
            </w:r>
          </w:p>
        </w:tc>
        <w:tc>
          <w:tcPr>
            <w:tcW w:w="2559" w:type="dxa"/>
            <w:gridSpan w:val="3"/>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上一年项目数量</w:t>
            </w:r>
          </w:p>
        </w:tc>
        <w:tc>
          <w:tcPr>
            <w:tcW w:w="3594" w:type="dxa"/>
            <w:gridSpan w:val="2"/>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本年增/减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4" w:hRule="atLeast"/>
          <w:jc w:val="center"/>
        </w:trPr>
        <w:tc>
          <w:tcPr>
            <w:tcW w:w="2485" w:type="dxa"/>
            <w:gridSpan w:val="2"/>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行政事业性收费</w:t>
            </w:r>
          </w:p>
        </w:tc>
        <w:tc>
          <w:tcPr>
            <w:tcW w:w="2559" w:type="dxa"/>
            <w:gridSpan w:val="3"/>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c>
          <w:tcPr>
            <w:tcW w:w="3594" w:type="dxa"/>
            <w:gridSpan w:val="2"/>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3" w:hRule="atLeast"/>
          <w:jc w:val="center"/>
        </w:trPr>
        <w:tc>
          <w:tcPr>
            <w:tcW w:w="8638" w:type="dxa"/>
            <w:gridSpan w:val="7"/>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第二十条第（九）项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2" w:hRule="atLeast"/>
          <w:jc w:val="center"/>
        </w:trPr>
        <w:tc>
          <w:tcPr>
            <w:tcW w:w="2485" w:type="dxa"/>
            <w:gridSpan w:val="2"/>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信息内容</w:t>
            </w:r>
          </w:p>
        </w:tc>
        <w:tc>
          <w:tcPr>
            <w:tcW w:w="2559" w:type="dxa"/>
            <w:gridSpan w:val="3"/>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采购项目数量</w:t>
            </w:r>
          </w:p>
        </w:tc>
        <w:tc>
          <w:tcPr>
            <w:tcW w:w="3594" w:type="dxa"/>
            <w:gridSpan w:val="2"/>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采购总金额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0" w:hRule="atLeast"/>
          <w:jc w:val="center"/>
        </w:trPr>
        <w:tc>
          <w:tcPr>
            <w:tcW w:w="2485" w:type="dxa"/>
            <w:gridSpan w:val="2"/>
            <w:tcBorders>
              <w:tl2br w:val="nil"/>
              <w:tr2bl w:val="nil"/>
            </w:tcBorders>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政府集中采购</w:t>
            </w:r>
          </w:p>
        </w:tc>
        <w:tc>
          <w:tcPr>
            <w:tcW w:w="2559" w:type="dxa"/>
            <w:gridSpan w:val="3"/>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c>
          <w:tcPr>
            <w:tcW w:w="3594" w:type="dxa"/>
            <w:gridSpan w:val="2"/>
            <w:tcBorders>
              <w:tl2br w:val="nil"/>
              <w:tr2bl w:val="nil"/>
            </w:tcBorders>
            <w:tcMar>
              <w:top w:w="0" w:type="dxa"/>
              <w:left w:w="108" w:type="dxa"/>
              <w:bottom w:w="0" w:type="dxa"/>
              <w:right w:w="108" w:type="dxa"/>
            </w:tcMar>
            <w:vAlign w:val="center"/>
          </w:tcPr>
          <w:p>
            <w:pPr>
              <w:jc w:val="center"/>
            </w:pPr>
            <w:r>
              <w:rPr>
                <w:rFonts w:hint="eastAsia"/>
                <w:sz w:val="24"/>
                <w:shd w:val="clear" w:color="auto" w:fill="FFFFFF"/>
              </w:rPr>
              <w:t>0</w:t>
            </w:r>
          </w:p>
        </w:tc>
      </w:tr>
    </w:tbl>
    <w:p>
      <w:pPr>
        <w:shd w:val="solid" w:color="FFFFFF" w:fill="auto"/>
        <w:autoSpaceDN w:val="0"/>
        <w:spacing w:beforeLines="50" w:line="432" w:lineRule="atLeast"/>
        <w:ind w:firstLine="640" w:firstLineChars="200"/>
        <w:rPr>
          <w:sz w:val="24"/>
          <w:shd w:val="clear" w:color="auto" w:fill="FFFFFF"/>
        </w:rPr>
      </w:pPr>
      <w:r>
        <w:rPr>
          <w:rFonts w:eastAsia="黑体"/>
          <w:bCs/>
          <w:sz w:val="32"/>
          <w:shd w:val="clear" w:color="auto" w:fill="FFFFFF"/>
        </w:rPr>
        <w:t>三、收到和处理政府信息公开申请情况</w:t>
      </w:r>
    </w:p>
    <w:tbl>
      <w:tblPr>
        <w:tblStyle w:val="6"/>
        <w:tblW w:w="89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
        <w:gridCol w:w="935"/>
        <w:gridCol w:w="2020"/>
        <w:gridCol w:w="825"/>
        <w:gridCol w:w="753"/>
        <w:gridCol w:w="775"/>
        <w:gridCol w:w="774"/>
        <w:gridCol w:w="774"/>
        <w:gridCol w:w="65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tblHeader/>
          <w:jc w:val="center"/>
        </w:trPr>
        <w:tc>
          <w:tcPr>
            <w:tcW w:w="3454" w:type="dxa"/>
            <w:gridSpan w:val="3"/>
            <w:vMerge w:val="restart"/>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sz w:val="24"/>
                <w:shd w:val="clear" w:color="auto" w:fill="FFFFFF"/>
              </w:rPr>
            </w:pPr>
            <w:r>
              <w:rPr>
                <w:sz w:val="24"/>
                <w:shd w:val="clear" w:color="auto" w:fill="FFFFFF"/>
              </w:rPr>
              <w:t>（本列数据的勾稽关系为：第一项加第二项之和，等于第三项加第四项之和）</w:t>
            </w:r>
          </w:p>
        </w:tc>
        <w:tc>
          <w:tcPr>
            <w:tcW w:w="5473" w:type="dxa"/>
            <w:gridSpan w:val="7"/>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454" w:type="dxa"/>
            <w:gridSpan w:val="3"/>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p>
        </w:tc>
        <w:tc>
          <w:tcPr>
            <w:tcW w:w="825" w:type="dxa"/>
            <w:vMerge w:val="restart"/>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自然人</w:t>
            </w:r>
          </w:p>
        </w:tc>
        <w:tc>
          <w:tcPr>
            <w:tcW w:w="3726" w:type="dxa"/>
            <w:gridSpan w:val="5"/>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法人或其他组织</w:t>
            </w:r>
          </w:p>
        </w:tc>
        <w:tc>
          <w:tcPr>
            <w:tcW w:w="922" w:type="dxa"/>
            <w:vMerge w:val="restart"/>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jc w:val="center"/>
        </w:trPr>
        <w:tc>
          <w:tcPr>
            <w:tcW w:w="3454" w:type="dxa"/>
            <w:gridSpan w:val="3"/>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p>
        </w:tc>
        <w:tc>
          <w:tcPr>
            <w:tcW w:w="82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商业企业</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科研机构</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sz w:val="24"/>
                <w:shd w:val="clear" w:color="auto" w:fill="FFFFFF"/>
              </w:rPr>
            </w:pPr>
            <w:r>
              <w:rPr>
                <w:sz w:val="24"/>
                <w:shd w:val="clear" w:color="auto" w:fill="FFFFFF"/>
              </w:rPr>
              <w:t>社会公益组织</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320" w:lineRule="exact"/>
              <w:jc w:val="center"/>
              <w:rPr>
                <w:sz w:val="24"/>
                <w:shd w:val="clear" w:color="auto" w:fill="FFFFFF"/>
              </w:rPr>
            </w:pPr>
            <w:r>
              <w:rPr>
                <w:sz w:val="24"/>
                <w:shd w:val="clear" w:color="auto" w:fill="FFFFFF"/>
              </w:rPr>
              <w:t>法律服务机构</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sz w:val="24"/>
                <w:shd w:val="clear" w:color="auto" w:fill="FFFFFF"/>
              </w:rPr>
              <w:t>其他</w:t>
            </w:r>
          </w:p>
        </w:tc>
        <w:tc>
          <w:tcPr>
            <w:tcW w:w="922"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jc w:val="center"/>
        </w:trPr>
        <w:tc>
          <w:tcPr>
            <w:tcW w:w="3454" w:type="dxa"/>
            <w:gridSpan w:val="3"/>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一、本年新收政府信息公开申请数量</w:t>
            </w:r>
          </w:p>
        </w:tc>
        <w:tc>
          <w:tcPr>
            <w:tcW w:w="825"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753" w:type="dxa"/>
            <w:tcBorders>
              <w:tl2br w:val="nil"/>
              <w:tr2bl w:val="nil"/>
            </w:tcBorders>
            <w:shd w:val="solid" w:color="FFFFFF" w:fill="auto"/>
            <w:tcMar>
              <w:top w:w="0" w:type="dxa"/>
              <w:left w:w="108" w:type="dxa"/>
              <w:bottom w:w="0" w:type="dxa"/>
              <w:right w:w="108" w:type="dxa"/>
            </w:tcMar>
          </w:tcPr>
          <w:p>
            <w:r>
              <w:rPr>
                <w:rFonts w:hint="eastAsia" w:eastAsiaTheme="minorEastAsia"/>
                <w:kern w:val="0"/>
                <w:sz w:val="24"/>
                <w:highlight w:val="white"/>
              </w:rPr>
              <w:t>1</w:t>
            </w:r>
          </w:p>
        </w:tc>
        <w:tc>
          <w:tcPr>
            <w:tcW w:w="775"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774"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774"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650"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922" w:type="dxa"/>
            <w:tcBorders>
              <w:tl2br w:val="nil"/>
              <w:tr2bl w:val="nil"/>
            </w:tcBorders>
            <w:shd w:val="solid" w:color="FFFFFF" w:fill="auto"/>
            <w:tcMar>
              <w:top w:w="0" w:type="dxa"/>
              <w:left w:w="108" w:type="dxa"/>
              <w:bottom w:w="0" w:type="dxa"/>
              <w:right w:w="108" w:type="dxa"/>
            </w:tcMar>
          </w:tcPr>
          <w:p>
            <w:r>
              <w:rPr>
                <w:rFonts w:hint="eastAsia" w:eastAsiaTheme="minorEastAsia"/>
                <w:kern w:val="0"/>
                <w:sz w:val="24"/>
                <w:highlight w:val="whit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8" w:hRule="atLeast"/>
          <w:jc w:val="center"/>
        </w:trPr>
        <w:tc>
          <w:tcPr>
            <w:tcW w:w="3454" w:type="dxa"/>
            <w:gridSpan w:val="3"/>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二、上年结转政府信息公开申请数量</w:t>
            </w:r>
          </w:p>
        </w:tc>
        <w:tc>
          <w:tcPr>
            <w:tcW w:w="825"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753"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775"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774"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774"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650"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922"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restart"/>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三、本年度办理结果</w:t>
            </w:r>
          </w:p>
        </w:tc>
        <w:tc>
          <w:tcPr>
            <w:tcW w:w="2955" w:type="dxa"/>
            <w:gridSpan w:val="2"/>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（一）予以公开</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955" w:type="dxa"/>
            <w:gridSpan w:val="2"/>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sz w:val="24"/>
                <w:shd w:val="clear" w:color="auto" w:fill="FFFFFF"/>
              </w:rPr>
            </w:pPr>
            <w:r>
              <w:rPr>
                <w:sz w:val="24"/>
                <w:shd w:val="clear" w:color="auto" w:fill="FFFFFF"/>
              </w:rPr>
              <w:t>（二）部分公开（区分处理的，只计这一情形，不计其他情形）</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restart"/>
            <w:tcBorders>
              <w:tl2br w:val="nil"/>
              <w:tr2bl w:val="nil"/>
            </w:tcBorders>
            <w:shd w:val="solid" w:color="FFFFFF" w:fill="auto"/>
            <w:tcMar>
              <w:top w:w="0" w:type="dxa"/>
              <w:left w:w="108" w:type="dxa"/>
              <w:bottom w:w="0" w:type="dxa"/>
              <w:right w:w="108" w:type="dxa"/>
            </w:tcMar>
            <w:vAlign w:val="center"/>
          </w:tcPr>
          <w:p>
            <w:pPr>
              <w:shd w:val="solid" w:color="FFFFFF" w:fill="auto"/>
              <w:overflowPunct w:val="0"/>
              <w:autoSpaceDN w:val="0"/>
              <w:spacing w:line="400" w:lineRule="exact"/>
              <w:jc w:val="center"/>
              <w:rPr>
                <w:sz w:val="24"/>
                <w:shd w:val="clear" w:color="auto" w:fill="FFFFFF"/>
              </w:rPr>
            </w:pPr>
            <w:r>
              <w:rPr>
                <w:sz w:val="24"/>
                <w:shd w:val="clear" w:color="auto" w:fill="FFFFFF"/>
              </w:rPr>
              <w:t>（三）不予公开</w:t>
            </w: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left"/>
              <w:rPr>
                <w:sz w:val="24"/>
                <w:shd w:val="clear" w:color="auto" w:fill="FFFFFF"/>
              </w:rPr>
            </w:pPr>
            <w:r>
              <w:rPr>
                <w:sz w:val="24"/>
                <w:shd w:val="clear" w:color="auto" w:fill="FFFFFF"/>
              </w:rPr>
              <w:t>1.属于国家秘密</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sz w:val="24"/>
                <w:shd w:val="clear" w:color="auto" w:fill="FFFFFF"/>
              </w:rPr>
            </w:pPr>
            <w:r>
              <w:rPr>
                <w:sz w:val="24"/>
                <w:shd w:val="clear" w:color="auto" w:fill="FFFFFF"/>
              </w:rPr>
              <w:t>2.其他法律行政法规禁止公开</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3.危及“三安全一稳定”</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4.保护第三方合法权益</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5.属于三类内部事务信息</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6.属于四类过程性信息</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7.属于行政执法案卷</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8.属于行政查询事项</w:t>
            </w:r>
          </w:p>
        </w:tc>
        <w:tc>
          <w:tcPr>
            <w:tcW w:w="825"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753" w:type="dxa"/>
            <w:tcBorders>
              <w:tl2br w:val="nil"/>
              <w:tr2bl w:val="nil"/>
            </w:tcBorders>
            <w:shd w:val="solid" w:color="FFFFFF" w:fill="auto"/>
            <w:tcMar>
              <w:top w:w="0" w:type="dxa"/>
              <w:left w:w="108" w:type="dxa"/>
              <w:bottom w:w="0" w:type="dxa"/>
              <w:right w:w="108" w:type="dxa"/>
            </w:tcMar>
          </w:tcPr>
          <w:p>
            <w:r>
              <w:rPr>
                <w:rFonts w:hint="eastAsia" w:eastAsiaTheme="minorEastAsia"/>
                <w:kern w:val="0"/>
                <w:sz w:val="24"/>
                <w:highlight w:val="white"/>
              </w:rPr>
              <w:t>1</w:t>
            </w:r>
          </w:p>
        </w:tc>
        <w:tc>
          <w:tcPr>
            <w:tcW w:w="775"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774"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774"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650" w:type="dxa"/>
            <w:tcBorders>
              <w:tl2br w:val="nil"/>
              <w:tr2bl w:val="nil"/>
            </w:tcBorders>
            <w:shd w:val="solid" w:color="FFFFFF" w:fill="auto"/>
            <w:tcMar>
              <w:top w:w="0" w:type="dxa"/>
              <w:left w:w="108" w:type="dxa"/>
              <w:bottom w:w="0" w:type="dxa"/>
              <w:right w:w="108" w:type="dxa"/>
            </w:tcMar>
          </w:tcPr>
          <w:p>
            <w:r>
              <w:rPr>
                <w:rFonts w:eastAsiaTheme="minorEastAsia"/>
                <w:kern w:val="0"/>
                <w:sz w:val="24"/>
                <w:highlight w:val="white"/>
              </w:rPr>
              <w:t>0</w:t>
            </w:r>
          </w:p>
        </w:tc>
        <w:tc>
          <w:tcPr>
            <w:tcW w:w="922" w:type="dxa"/>
            <w:tcBorders>
              <w:tl2br w:val="nil"/>
              <w:tr2bl w:val="nil"/>
            </w:tcBorders>
            <w:shd w:val="solid" w:color="FFFFFF" w:fill="auto"/>
            <w:tcMar>
              <w:top w:w="0" w:type="dxa"/>
              <w:left w:w="108" w:type="dxa"/>
              <w:bottom w:w="0" w:type="dxa"/>
              <w:right w:w="108" w:type="dxa"/>
            </w:tcMar>
          </w:tcPr>
          <w:p>
            <w:r>
              <w:rPr>
                <w:rFonts w:hint="eastAsia" w:eastAsiaTheme="minorEastAsia"/>
                <w:kern w:val="0"/>
                <w:sz w:val="24"/>
                <w:highlight w:val="whit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restart"/>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（四）无法提供</w:t>
            </w: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sz w:val="24"/>
                <w:shd w:val="clear" w:color="auto" w:fill="FFFFFF"/>
              </w:rPr>
            </w:pPr>
            <w:r>
              <w:rPr>
                <w:sz w:val="24"/>
                <w:shd w:val="clear" w:color="auto" w:fill="FFFFFF"/>
              </w:rPr>
              <w:t>1.本机关不掌握相关政府信息</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2.没有现成信息需另行制作</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3.补正后申请内容仍不明确</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restart"/>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（五）不予处理</w:t>
            </w: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1.信访举报投诉类申请</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2.重复申请</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3.要求提供公开出版物</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4.无正当理由大量反复申请</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935"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02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360" w:lineRule="exact"/>
              <w:jc w:val="center"/>
              <w:rPr>
                <w:sz w:val="24"/>
                <w:shd w:val="clear" w:color="auto" w:fill="FFFFFF"/>
              </w:rPr>
            </w:pPr>
            <w:r>
              <w:rPr>
                <w:sz w:val="24"/>
                <w:shd w:val="clear" w:color="auto" w:fill="FFFFFF"/>
              </w:rPr>
              <w:t>5.要求行政机关确认或重新出具已获取信息</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955" w:type="dxa"/>
            <w:gridSpan w:val="2"/>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（六）其他处理</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1" w:hRule="atLeast"/>
          <w:jc w:val="center"/>
        </w:trPr>
        <w:tc>
          <w:tcPr>
            <w:tcW w:w="499"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2955" w:type="dxa"/>
            <w:gridSpan w:val="2"/>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（七）总计</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1</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7" w:hRule="atLeast"/>
          <w:jc w:val="center"/>
        </w:trPr>
        <w:tc>
          <w:tcPr>
            <w:tcW w:w="3454" w:type="dxa"/>
            <w:gridSpan w:val="3"/>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四、结转下年度继续办理</w:t>
            </w:r>
          </w:p>
        </w:tc>
        <w:tc>
          <w:tcPr>
            <w:tcW w:w="82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75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5"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774"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65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c>
          <w:tcPr>
            <w:tcW w:w="92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32" w:lineRule="atLeast"/>
              <w:jc w:val="center"/>
              <w:rPr>
                <w:sz w:val="24"/>
                <w:shd w:val="clear" w:color="auto" w:fill="FFFFFF"/>
              </w:rPr>
            </w:pPr>
            <w:r>
              <w:rPr>
                <w:rFonts w:hint="eastAsia"/>
                <w:sz w:val="24"/>
                <w:shd w:val="clear" w:color="auto" w:fill="FFFFFF"/>
              </w:rPr>
              <w:t>0</w:t>
            </w:r>
          </w:p>
        </w:tc>
      </w:tr>
    </w:tbl>
    <w:p>
      <w:pPr>
        <w:shd w:val="solid" w:color="FFFFFF" w:fill="auto"/>
        <w:autoSpaceDN w:val="0"/>
        <w:spacing w:beforeLines="50" w:line="432" w:lineRule="atLeast"/>
        <w:ind w:firstLine="640" w:firstLineChars="200"/>
        <w:rPr>
          <w:rFonts w:eastAsia="黑体"/>
          <w:bCs/>
          <w:sz w:val="32"/>
          <w:shd w:val="clear" w:color="auto" w:fill="FFFFFF"/>
        </w:rPr>
      </w:pPr>
      <w:r>
        <w:rPr>
          <w:rFonts w:eastAsia="黑体"/>
          <w:bCs/>
          <w:sz w:val="32"/>
          <w:shd w:val="clear" w:color="auto" w:fill="FFFFFF"/>
        </w:rPr>
        <w:t>四、政府信息公开行政复议、行政诉讼情况</w:t>
      </w:r>
    </w:p>
    <w:tbl>
      <w:tblPr>
        <w:tblStyle w:val="6"/>
        <w:tblW w:w="88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581"/>
        <w:gridCol w:w="582"/>
        <w:gridCol w:w="580"/>
        <w:gridCol w:w="638"/>
        <w:gridCol w:w="530"/>
        <w:gridCol w:w="581"/>
        <w:gridCol w:w="583"/>
        <w:gridCol w:w="582"/>
        <w:gridCol w:w="587"/>
        <w:gridCol w:w="643"/>
        <w:gridCol w:w="629"/>
        <w:gridCol w:w="557"/>
        <w:gridCol w:w="600"/>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3" w:hRule="atLeast"/>
          <w:jc w:val="center"/>
        </w:trPr>
        <w:tc>
          <w:tcPr>
            <w:tcW w:w="2962" w:type="dxa"/>
            <w:gridSpan w:val="5"/>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行政复议</w:t>
            </w:r>
          </w:p>
        </w:tc>
        <w:tc>
          <w:tcPr>
            <w:tcW w:w="5908" w:type="dxa"/>
            <w:gridSpan w:val="10"/>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6" w:hRule="atLeast"/>
          <w:jc w:val="center"/>
        </w:trPr>
        <w:tc>
          <w:tcPr>
            <w:tcW w:w="581" w:type="dxa"/>
            <w:vMerge w:val="restart"/>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结果维持</w:t>
            </w:r>
          </w:p>
        </w:tc>
        <w:tc>
          <w:tcPr>
            <w:tcW w:w="581" w:type="dxa"/>
            <w:vMerge w:val="restart"/>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结果纠正</w:t>
            </w:r>
          </w:p>
        </w:tc>
        <w:tc>
          <w:tcPr>
            <w:tcW w:w="582" w:type="dxa"/>
            <w:vMerge w:val="restart"/>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其他结果</w:t>
            </w:r>
          </w:p>
        </w:tc>
        <w:tc>
          <w:tcPr>
            <w:tcW w:w="580" w:type="dxa"/>
            <w:vMerge w:val="restart"/>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尚未审结</w:t>
            </w:r>
          </w:p>
        </w:tc>
        <w:tc>
          <w:tcPr>
            <w:tcW w:w="638" w:type="dxa"/>
            <w:vMerge w:val="restart"/>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总计</w:t>
            </w:r>
          </w:p>
        </w:tc>
        <w:tc>
          <w:tcPr>
            <w:tcW w:w="2863" w:type="dxa"/>
            <w:gridSpan w:val="5"/>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未经复议直接起诉</w:t>
            </w:r>
          </w:p>
        </w:tc>
        <w:tc>
          <w:tcPr>
            <w:tcW w:w="3045" w:type="dxa"/>
            <w:gridSpan w:val="5"/>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63" w:hRule="atLeast"/>
          <w:jc w:val="center"/>
        </w:trPr>
        <w:tc>
          <w:tcPr>
            <w:tcW w:w="581"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581"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582"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580"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638" w:type="dxa"/>
            <w:vMerge w:val="continue"/>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p>
        </w:tc>
        <w:tc>
          <w:tcPr>
            <w:tcW w:w="53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结果维持</w:t>
            </w:r>
          </w:p>
        </w:tc>
        <w:tc>
          <w:tcPr>
            <w:tcW w:w="581"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结果纠正</w:t>
            </w:r>
          </w:p>
        </w:tc>
        <w:tc>
          <w:tcPr>
            <w:tcW w:w="58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其他结果</w:t>
            </w:r>
          </w:p>
        </w:tc>
        <w:tc>
          <w:tcPr>
            <w:tcW w:w="58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尚未审结</w:t>
            </w:r>
          </w:p>
        </w:tc>
        <w:tc>
          <w:tcPr>
            <w:tcW w:w="587"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总计</w:t>
            </w:r>
          </w:p>
        </w:tc>
        <w:tc>
          <w:tcPr>
            <w:tcW w:w="64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结果维持</w:t>
            </w:r>
          </w:p>
        </w:tc>
        <w:tc>
          <w:tcPr>
            <w:tcW w:w="629"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结果纠正</w:t>
            </w:r>
          </w:p>
        </w:tc>
        <w:tc>
          <w:tcPr>
            <w:tcW w:w="557"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其他结果</w:t>
            </w:r>
          </w:p>
        </w:tc>
        <w:tc>
          <w:tcPr>
            <w:tcW w:w="60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尚未审结</w:t>
            </w:r>
          </w:p>
        </w:tc>
        <w:tc>
          <w:tcPr>
            <w:tcW w:w="616"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sz w:val="24"/>
                <w:shd w:val="clear" w:color="auto" w:fill="FFFFFF"/>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73" w:hRule="atLeast"/>
          <w:jc w:val="center"/>
        </w:trPr>
        <w:tc>
          <w:tcPr>
            <w:tcW w:w="581"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1"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638"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3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1"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2"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87"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643"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629"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557"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600"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c>
          <w:tcPr>
            <w:tcW w:w="616" w:type="dxa"/>
            <w:tcBorders>
              <w:tl2br w:val="nil"/>
              <w:tr2bl w:val="nil"/>
            </w:tcBorders>
            <w:shd w:val="solid" w:color="FFFFFF" w:fill="auto"/>
            <w:tcMar>
              <w:top w:w="0" w:type="dxa"/>
              <w:left w:w="108" w:type="dxa"/>
              <w:bottom w:w="0" w:type="dxa"/>
              <w:right w:w="108" w:type="dxa"/>
            </w:tcMar>
            <w:vAlign w:val="center"/>
          </w:tcPr>
          <w:p>
            <w:pPr>
              <w:shd w:val="solid" w:color="FFFFFF" w:fill="auto"/>
              <w:autoSpaceDN w:val="0"/>
              <w:spacing w:line="400" w:lineRule="exact"/>
              <w:jc w:val="center"/>
              <w:rPr>
                <w:sz w:val="24"/>
                <w:shd w:val="clear" w:color="auto" w:fill="FFFFFF"/>
              </w:rPr>
            </w:pPr>
            <w:r>
              <w:rPr>
                <w:rFonts w:hint="eastAsia"/>
                <w:sz w:val="24"/>
                <w:shd w:val="clear" w:color="auto" w:fill="FFFFFF"/>
              </w:rPr>
              <w:t>0</w:t>
            </w:r>
          </w:p>
        </w:tc>
      </w:tr>
    </w:tbl>
    <w:p>
      <w:pPr>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五、存在的主要问题及改进情况  　　</w:t>
      </w:r>
    </w:p>
    <w:p>
      <w:pPr>
        <w:snapToGrid w:val="0"/>
        <w:spacing w:line="560" w:lineRule="exact"/>
        <w:ind w:firstLine="579" w:firstLineChars="181"/>
        <w:rPr>
          <w:rFonts w:ascii="仿宋_GB2312" w:eastAsia="仿宋_GB2312"/>
          <w:sz w:val="32"/>
          <w:szCs w:val="32"/>
        </w:rPr>
      </w:pPr>
      <w:r>
        <w:rPr>
          <w:rFonts w:hint="eastAsia" w:ascii="仿宋_GB2312" w:eastAsia="仿宋_GB2312"/>
          <w:sz w:val="32"/>
          <w:szCs w:val="32"/>
        </w:rPr>
        <w:t>2020年花山镇人民政府按照《中华人民共和国政府信息公开条例》和上级部署积极做好信息公开工作，取得一定成效，但也存在一些不足：一是信息公开的主动性和及时性有待提高，二是公开方式单一化、陈旧化，三是公开工作队伍能力建设不够，公开队伍整体的专业化、理论化水平不高。  　　</w:t>
      </w:r>
    </w:p>
    <w:p>
      <w:pPr>
        <w:snapToGrid w:val="0"/>
        <w:spacing w:line="560" w:lineRule="exact"/>
        <w:ind w:firstLine="420"/>
        <w:rPr>
          <w:rFonts w:ascii="仿宋_GB2312" w:eastAsia="仿宋_GB2312"/>
          <w:sz w:val="32"/>
          <w:szCs w:val="32"/>
        </w:rPr>
      </w:pPr>
      <w:r>
        <w:rPr>
          <w:rFonts w:hint="eastAsia" w:ascii="仿宋_GB2312" w:eastAsia="仿宋_GB2312"/>
          <w:sz w:val="32"/>
          <w:szCs w:val="32"/>
        </w:rPr>
        <w:t>下一步，我镇将按照要求，继续加大力度推进政府信息公开工作，重点做好以下几方面工作：  　　</w:t>
      </w:r>
    </w:p>
    <w:p>
      <w:pPr>
        <w:snapToGrid w:val="0"/>
        <w:spacing w:line="560" w:lineRule="exact"/>
        <w:ind w:firstLine="420"/>
        <w:rPr>
          <w:rFonts w:ascii="仿宋_GB2312" w:eastAsia="仿宋_GB2312"/>
          <w:sz w:val="32"/>
          <w:szCs w:val="32"/>
        </w:rPr>
      </w:pPr>
      <w:r>
        <w:rPr>
          <w:rFonts w:hint="eastAsia" w:ascii="仿宋_GB2312" w:eastAsia="仿宋_GB2312"/>
          <w:sz w:val="32"/>
          <w:szCs w:val="32"/>
        </w:rPr>
        <w:t xml:space="preserve"> 一是着力深化重点领域信息公开。按照规定，坚持“公开为常态、不公开为例外”的原则，积极扩大公开的范围和深度，大力提高政府信息公开质量，更好地服务经济社会发展和民生改善。二是积极回应社会民生热点关切。在上级的指引下，围绕全镇的中心工作，通过多个平台公开政府信息，扩进公开的深度、扩宽公开的广度，着重回应群众关心关切的问题，提升信息公开工作的群众满意度。三是着力加强公开工作队伍建设。不断强化政府信息公开人员队伍建设，保障必要的经费、设备等工作条件，加强与上级的交流，强化对人员的培训，切实提高人员队伍的综合素质和业务能力。</w:t>
      </w:r>
    </w:p>
    <w:p>
      <w:pPr>
        <w:snapToGrid w:val="0"/>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六、其他需要报告的事项  </w:t>
      </w:r>
    </w:p>
    <w:p>
      <w:pPr>
        <w:snapToGrid w:val="0"/>
        <w:spacing w:line="560" w:lineRule="exact"/>
        <w:ind w:firstLine="640" w:firstLineChars="200"/>
        <w:rPr>
          <w:color w:val="424242"/>
        </w:rPr>
      </w:pPr>
      <w:r>
        <w:rPr>
          <w:rFonts w:ascii="仿宋_GB2312" w:eastAsia="仿宋_GB2312" w:hAnsiTheme="minorHAnsi" w:cstheme="minorBidi"/>
          <w:sz w:val="32"/>
          <w:szCs w:val="32"/>
        </w:rPr>
        <w:t>本年度报告的统计期限为</w:t>
      </w:r>
      <w:r>
        <w:rPr>
          <w:rFonts w:hint="eastAsia" w:ascii="仿宋_GB2312" w:eastAsia="仿宋_GB2312" w:hAnsiTheme="minorHAnsi" w:cstheme="minorBidi"/>
          <w:sz w:val="32"/>
          <w:szCs w:val="32"/>
        </w:rPr>
        <w:t>2020</w:t>
      </w:r>
      <w:r>
        <w:rPr>
          <w:rFonts w:ascii="仿宋_GB2312" w:eastAsia="仿宋_GB2312" w:hAnsiTheme="minorHAnsi" w:cstheme="minorBidi"/>
          <w:sz w:val="32"/>
          <w:szCs w:val="32"/>
        </w:rPr>
        <w:t>年1月1日至</w:t>
      </w:r>
      <w:r>
        <w:rPr>
          <w:rFonts w:hint="eastAsia" w:ascii="仿宋_GB2312" w:eastAsia="仿宋_GB2312" w:hAnsiTheme="minorHAnsi" w:cstheme="minorBidi"/>
          <w:sz w:val="32"/>
          <w:szCs w:val="32"/>
        </w:rPr>
        <w:t>2020</w:t>
      </w:r>
      <w:r>
        <w:rPr>
          <w:rFonts w:ascii="仿宋_GB2312" w:eastAsia="仿宋_GB2312" w:hAnsiTheme="minorHAnsi" w:cstheme="minorBidi"/>
          <w:sz w:val="32"/>
          <w:szCs w:val="32"/>
        </w:rPr>
        <w:t>年12月31日。如对本报告有任何疑问，请联系广州市花都区</w:t>
      </w:r>
      <w:r>
        <w:rPr>
          <w:rFonts w:hint="eastAsia" w:ascii="仿宋_GB2312" w:eastAsia="仿宋_GB2312" w:hAnsiTheme="minorHAnsi" w:cstheme="minorBidi"/>
          <w:sz w:val="32"/>
          <w:szCs w:val="32"/>
        </w:rPr>
        <w:t>花山镇党政综合</w:t>
      </w:r>
      <w:r>
        <w:rPr>
          <w:rFonts w:ascii="仿宋_GB2312" w:eastAsia="仿宋_GB2312" w:hAnsiTheme="minorHAnsi" w:cstheme="minorBidi"/>
          <w:sz w:val="32"/>
          <w:szCs w:val="32"/>
        </w:rPr>
        <w:t>办公室，联系地址：广州市花都区</w:t>
      </w:r>
      <w:r>
        <w:rPr>
          <w:rFonts w:hint="eastAsia" w:ascii="仿宋_GB2312" w:eastAsia="仿宋_GB2312" w:hAnsiTheme="minorHAnsi" w:cstheme="minorBidi"/>
          <w:sz w:val="32"/>
          <w:szCs w:val="32"/>
        </w:rPr>
        <w:t>花山镇花山大道1号</w:t>
      </w:r>
      <w:r>
        <w:rPr>
          <w:rFonts w:ascii="仿宋_GB2312" w:eastAsia="仿宋_GB2312" w:hAnsiTheme="minorHAnsi" w:cstheme="minorBidi"/>
          <w:sz w:val="32"/>
          <w:szCs w:val="32"/>
        </w:rPr>
        <w:t>，邮编：510800，联系电话：020-</w:t>
      </w:r>
      <w:r>
        <w:rPr>
          <w:rFonts w:hint="eastAsia" w:ascii="仿宋_GB2312" w:eastAsia="仿宋_GB2312" w:hAnsiTheme="minorHAnsi" w:cstheme="minorBidi"/>
          <w:sz w:val="32"/>
          <w:szCs w:val="32"/>
        </w:rPr>
        <w:t>86848293</w:t>
      </w:r>
      <w:r>
        <w:rPr>
          <w:rFonts w:ascii="仿宋_GB2312" w:eastAsia="仿宋_GB2312" w:hAnsiTheme="minorHAnsi" w:cstheme="minorBidi"/>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65CD"/>
    <w:rsid w:val="00101E5F"/>
    <w:rsid w:val="0024397F"/>
    <w:rsid w:val="00291687"/>
    <w:rsid w:val="003B4EF5"/>
    <w:rsid w:val="00463350"/>
    <w:rsid w:val="00473A2A"/>
    <w:rsid w:val="004765CD"/>
    <w:rsid w:val="005F20A4"/>
    <w:rsid w:val="006B458E"/>
    <w:rsid w:val="00740996"/>
    <w:rsid w:val="007F6F2E"/>
    <w:rsid w:val="009032FD"/>
    <w:rsid w:val="00B001F1"/>
    <w:rsid w:val="00B919C3"/>
    <w:rsid w:val="00D31229"/>
    <w:rsid w:val="00D431CC"/>
    <w:rsid w:val="00D63F4E"/>
    <w:rsid w:val="00DB3FC8"/>
    <w:rsid w:val="00DC662E"/>
    <w:rsid w:val="00E27374"/>
    <w:rsid w:val="00E91F36"/>
    <w:rsid w:val="00F8373E"/>
    <w:rsid w:val="00FF3BA0"/>
    <w:rsid w:val="13246D48"/>
    <w:rsid w:val="59F16AA4"/>
    <w:rsid w:val="72CD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uiPriority w:val="99"/>
    <w:rPr>
      <w:rFonts w:ascii="Times New Roman" w:hAnsi="Times New Roman" w:eastAsia="宋体" w:cs="Times New Roman"/>
      <w:sz w:val="18"/>
      <w:szCs w:val="18"/>
    </w:rPr>
  </w:style>
  <w:style w:type="character" w:customStyle="1" w:styleId="9">
    <w:name w:val="页脚 Char"/>
    <w:basedOn w:val="7"/>
    <w:link w:val="3"/>
    <w:semiHidden/>
    <w:uiPriority w:val="99"/>
    <w:rPr>
      <w:rFonts w:ascii="Times New Roman" w:hAnsi="Times New Roman" w:eastAsia="宋体" w:cs="Times New Roman"/>
      <w:sz w:val="18"/>
      <w:szCs w:val="18"/>
    </w:rPr>
  </w:style>
  <w:style w:type="character" w:customStyle="1" w:styleId="10">
    <w:name w:val="日期 Char"/>
    <w:basedOn w:val="7"/>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19DD93-72E6-4DE8-B4B0-7410C1F6509D}">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456</Words>
  <Characters>2604</Characters>
  <Lines>21</Lines>
  <Paragraphs>6</Paragraphs>
  <TotalTime>42</TotalTime>
  <ScaleCrop>false</ScaleCrop>
  <LinksUpToDate>false</LinksUpToDate>
  <CharactersWithSpaces>3054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2020-12-25T10:38:00Z</dcterms:created>
  <dc:creator>越翔</dc:creator>
  <cp:lastModifiedBy>hszzf212</cp:lastModifiedBy>
  <dcterms:modified xsi:type="dcterms:W3CDTF">2021-01-21T02:07:52Z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