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仿宋" w:hAnsi="仿宋" w:eastAsia="仿宋" w:cs="仿宋"/>
          <w:b w:val="0"/>
          <w:bCs/>
          <w:sz w:val="30"/>
          <w:szCs w:val="30"/>
          <w:lang w:val="en-US" w:eastAsia="zh-CN"/>
        </w:rPr>
      </w:pPr>
      <w:bookmarkStart w:id="0" w:name="_GoBack"/>
      <w:bookmarkEnd w:id="0"/>
      <w:r>
        <w:rPr>
          <w:rFonts w:hint="eastAsia" w:ascii="仿宋" w:hAnsi="仿宋" w:eastAsia="仿宋" w:cs="仿宋"/>
          <w:b w:val="0"/>
          <w:bCs/>
          <w:sz w:val="30"/>
          <w:szCs w:val="30"/>
          <w:lang w:eastAsia="zh-CN"/>
        </w:rPr>
        <w:t>附件</w:t>
      </w:r>
      <w:r>
        <w:rPr>
          <w:rFonts w:hint="eastAsia" w:ascii="仿宋" w:hAnsi="仿宋" w:eastAsia="仿宋" w:cs="仿宋"/>
          <w:b w:val="0"/>
          <w:bCs/>
          <w:sz w:val="30"/>
          <w:szCs w:val="30"/>
          <w:lang w:val="en-US" w:eastAsia="zh-CN"/>
        </w:rPr>
        <w:t>5：</w:t>
      </w:r>
    </w:p>
    <w:p>
      <w:pPr>
        <w:pStyle w:val="4"/>
        <w:jc w:val="center"/>
        <w:rPr>
          <w:rFonts w:hint="eastAsia" w:ascii="仿宋" w:hAnsi="仿宋" w:eastAsia="仿宋"/>
          <w:sz w:val="32"/>
          <w:szCs w:val="32"/>
          <w:lang w:eastAsia="zh-CN"/>
        </w:rPr>
      </w:pPr>
      <w:r>
        <w:rPr>
          <w:rFonts w:hint="eastAsia"/>
          <w:lang w:val="en-US" w:eastAsia="zh-CN"/>
        </w:rPr>
        <w:t>安全教育培训</w:t>
      </w:r>
      <w:r>
        <w:rPr>
          <w:rFonts w:hint="eastAsia"/>
        </w:rPr>
        <w:t>类</w:t>
      </w:r>
      <w:r>
        <w:rPr>
          <w:rFonts w:hint="eastAsia"/>
          <w:lang w:eastAsia="zh-CN"/>
        </w:rPr>
        <w:t>（</w:t>
      </w:r>
      <w:r>
        <w:rPr>
          <w:rFonts w:hint="eastAsia" w:ascii="仿宋" w:hAnsi="仿宋" w:eastAsia="仿宋"/>
          <w:sz w:val="32"/>
          <w:szCs w:val="32"/>
        </w:rPr>
        <w:t>排序不分先后</w:t>
      </w:r>
      <w:r>
        <w:rPr>
          <w:rFonts w:hint="eastAsia" w:ascii="仿宋" w:hAnsi="仿宋" w:eastAsia="仿宋"/>
          <w:sz w:val="32"/>
          <w:szCs w:val="32"/>
          <w:lang w:eastAsia="zh-CN"/>
        </w:rPr>
        <w:t>）</w:t>
      </w:r>
    </w:p>
    <w:tbl>
      <w:tblPr>
        <w:tblStyle w:val="10"/>
        <w:tblW w:w="14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787"/>
        <w:gridCol w:w="1300"/>
        <w:gridCol w:w="1153"/>
        <w:gridCol w:w="1147"/>
        <w:gridCol w:w="5347"/>
        <w:gridCol w:w="2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5" w:hRule="atLeast"/>
        </w:trPr>
        <w:tc>
          <w:tcPr>
            <w:tcW w:w="759" w:type="dxa"/>
          </w:tcPr>
          <w:p>
            <w:pPr>
              <w:spacing w:line="240" w:lineRule="auto"/>
              <w:jc w:val="center"/>
              <w:rPr>
                <w:rFonts w:hint="eastAsia" w:ascii="仿宋" w:hAnsi="仿宋" w:eastAsia="仿宋" w:cs="仿宋"/>
                <w:sz w:val="28"/>
                <w:szCs w:val="28"/>
              </w:rPr>
            </w:pPr>
            <w:r>
              <w:rPr>
                <w:rFonts w:hint="eastAsia" w:ascii="仿宋" w:hAnsi="仿宋" w:eastAsia="仿宋" w:cs="仿宋"/>
                <w:sz w:val="28"/>
                <w:szCs w:val="28"/>
              </w:rPr>
              <w:t>序号</w:t>
            </w:r>
          </w:p>
        </w:tc>
        <w:tc>
          <w:tcPr>
            <w:tcW w:w="1787" w:type="dxa"/>
          </w:tcPr>
          <w:p>
            <w:pPr>
              <w:spacing w:line="240" w:lineRule="auto"/>
              <w:jc w:val="center"/>
              <w:rPr>
                <w:rFonts w:hint="eastAsia" w:ascii="仿宋" w:hAnsi="仿宋" w:eastAsia="仿宋" w:cs="仿宋"/>
                <w:sz w:val="28"/>
                <w:szCs w:val="28"/>
              </w:rPr>
            </w:pPr>
            <w:r>
              <w:rPr>
                <w:rFonts w:hint="eastAsia" w:ascii="仿宋" w:hAnsi="仿宋" w:eastAsia="仿宋" w:cs="仿宋"/>
                <w:sz w:val="28"/>
                <w:szCs w:val="28"/>
              </w:rPr>
              <w:t>机构名称</w:t>
            </w:r>
          </w:p>
        </w:tc>
        <w:tc>
          <w:tcPr>
            <w:tcW w:w="1300" w:type="dxa"/>
          </w:tcPr>
          <w:p>
            <w:pPr>
              <w:spacing w:line="240" w:lineRule="auto"/>
              <w:jc w:val="center"/>
              <w:rPr>
                <w:rFonts w:hint="eastAsia" w:ascii="仿宋" w:hAnsi="仿宋" w:eastAsia="仿宋" w:cs="仿宋"/>
                <w:sz w:val="28"/>
                <w:szCs w:val="28"/>
              </w:rPr>
            </w:pPr>
            <w:r>
              <w:rPr>
                <w:rFonts w:hint="eastAsia" w:ascii="仿宋" w:hAnsi="仿宋" w:eastAsia="仿宋" w:cs="仿宋"/>
                <w:color w:val="000000"/>
                <w:kern w:val="0"/>
                <w:sz w:val="28"/>
                <w:szCs w:val="28"/>
              </w:rPr>
              <w:t>资质名称</w:t>
            </w:r>
          </w:p>
        </w:tc>
        <w:tc>
          <w:tcPr>
            <w:tcW w:w="1153" w:type="dxa"/>
          </w:tcPr>
          <w:p>
            <w:pPr>
              <w:spacing w:line="240" w:lineRule="auto"/>
              <w:jc w:val="center"/>
              <w:rPr>
                <w:rFonts w:hint="eastAsia" w:ascii="仿宋" w:hAnsi="仿宋" w:eastAsia="仿宋" w:cs="仿宋"/>
                <w:sz w:val="28"/>
                <w:szCs w:val="28"/>
              </w:rPr>
            </w:pPr>
            <w:r>
              <w:rPr>
                <w:rFonts w:hint="eastAsia" w:ascii="仿宋" w:hAnsi="仿宋" w:eastAsia="仿宋" w:cs="仿宋"/>
                <w:sz w:val="28"/>
                <w:szCs w:val="28"/>
                <w:lang w:val="en-US" w:eastAsia="zh-CN"/>
              </w:rPr>
              <w:t>单位</w:t>
            </w:r>
            <w:r>
              <w:rPr>
                <w:rFonts w:hint="eastAsia" w:ascii="仿宋" w:hAnsi="仿宋" w:eastAsia="仿宋" w:cs="仿宋"/>
                <w:sz w:val="28"/>
                <w:szCs w:val="28"/>
              </w:rPr>
              <w:t>负责人</w:t>
            </w:r>
          </w:p>
        </w:tc>
        <w:tc>
          <w:tcPr>
            <w:tcW w:w="1147" w:type="dxa"/>
            <w:tcBorders>
              <w:bottom w:val="single" w:color="auto" w:sz="4" w:space="0"/>
            </w:tcBorders>
          </w:tcPr>
          <w:p>
            <w:pPr>
              <w:spacing w:line="24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rPr>
              <w:t>联系</w:t>
            </w:r>
            <w:r>
              <w:rPr>
                <w:rFonts w:hint="eastAsia" w:ascii="仿宋" w:hAnsi="仿宋" w:eastAsia="仿宋" w:cs="仿宋"/>
                <w:sz w:val="28"/>
                <w:szCs w:val="28"/>
                <w:lang w:val="en-US" w:eastAsia="zh-CN"/>
              </w:rPr>
              <w:t>人</w:t>
            </w:r>
          </w:p>
        </w:tc>
        <w:tc>
          <w:tcPr>
            <w:tcW w:w="5347" w:type="dxa"/>
          </w:tcPr>
          <w:p>
            <w:pPr>
              <w:spacing w:line="240" w:lineRule="auto"/>
              <w:jc w:val="center"/>
              <w:rPr>
                <w:rFonts w:hint="eastAsia" w:ascii="仿宋" w:hAnsi="仿宋" w:eastAsia="仿宋" w:cs="仿宋"/>
                <w:sz w:val="28"/>
                <w:szCs w:val="28"/>
              </w:rPr>
            </w:pPr>
            <w:r>
              <w:rPr>
                <w:rFonts w:hint="eastAsia" w:ascii="仿宋" w:hAnsi="仿宋" w:eastAsia="仿宋" w:cs="仿宋"/>
                <w:sz w:val="28"/>
                <w:szCs w:val="28"/>
              </w:rPr>
              <w:t>业务范围</w:t>
            </w:r>
          </w:p>
        </w:tc>
        <w:tc>
          <w:tcPr>
            <w:tcW w:w="2588" w:type="dxa"/>
          </w:tcPr>
          <w:p>
            <w:pPr>
              <w:spacing w:line="240" w:lineRule="auto"/>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单位</w:t>
            </w:r>
            <w:r>
              <w:rPr>
                <w:rFonts w:hint="eastAsia" w:ascii="仿宋" w:hAnsi="仿宋" w:eastAsia="仿宋" w:cs="仿宋"/>
                <w:sz w:val="28"/>
                <w:szCs w:val="28"/>
                <w:lang w:eastAsia="zh-CN"/>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59" w:type="dxa"/>
            <w:vAlign w:val="top"/>
          </w:tcPr>
          <w:p>
            <w:pPr>
              <w:spacing w:line="560" w:lineRule="exact"/>
              <w:jc w:val="center"/>
              <w:rPr>
                <w:rFonts w:ascii="仿宋" w:hAnsi="仿宋" w:eastAsia="仿宋"/>
                <w:sz w:val="21"/>
                <w:szCs w:val="21"/>
              </w:rPr>
            </w:pPr>
            <w:r>
              <w:rPr>
                <w:rFonts w:hint="eastAsia" w:ascii="仿宋" w:hAnsi="仿宋" w:eastAsia="仿宋"/>
                <w:sz w:val="21"/>
                <w:szCs w:val="21"/>
                <w:lang w:val="en-US" w:eastAsia="zh-CN"/>
              </w:rPr>
              <w:t>1</w:t>
            </w:r>
          </w:p>
        </w:tc>
        <w:tc>
          <w:tcPr>
            <w:tcW w:w="1787" w:type="dxa"/>
            <w:vAlign w:val="top"/>
          </w:tcPr>
          <w:p>
            <w:pPr>
              <w:spacing w:line="240" w:lineRule="auto"/>
              <w:rPr>
                <w:rFonts w:hint="eastAsia" w:ascii="仿宋" w:hAnsi="仿宋" w:eastAsia="仿宋" w:cs="仿宋"/>
                <w:sz w:val="21"/>
                <w:szCs w:val="21"/>
              </w:rPr>
            </w:pPr>
            <w:r>
              <w:rPr>
                <w:rFonts w:hint="eastAsia" w:ascii="仿宋" w:hAnsi="仿宋" w:eastAsia="仿宋" w:cs="仿宋"/>
                <w:color w:val="000000"/>
                <w:kern w:val="0"/>
                <w:sz w:val="21"/>
                <w:szCs w:val="21"/>
              </w:rPr>
              <w:t>广州穗辉咨询服务有限公司</w:t>
            </w:r>
          </w:p>
        </w:tc>
        <w:tc>
          <w:tcPr>
            <w:tcW w:w="1300" w:type="dxa"/>
            <w:vAlign w:val="top"/>
          </w:tcPr>
          <w:p>
            <w:pPr>
              <w:spacing w:line="240" w:lineRule="auto"/>
              <w:jc w:val="both"/>
              <w:rPr>
                <w:rFonts w:hint="eastAsia" w:ascii="仿宋" w:hAnsi="仿宋" w:eastAsia="仿宋" w:cs="仿宋"/>
                <w:sz w:val="21"/>
                <w:szCs w:val="21"/>
                <w:lang w:val="en-US"/>
              </w:rPr>
            </w:pPr>
            <w:r>
              <w:rPr>
                <w:rFonts w:hint="eastAsia" w:ascii="仿宋" w:hAnsi="仿宋" w:eastAsia="仿宋" w:cs="仿宋"/>
                <w:color w:val="000000"/>
                <w:sz w:val="21"/>
                <w:szCs w:val="21"/>
              </w:rPr>
              <w:t>高危行业安全培训及低压电工</w:t>
            </w:r>
          </w:p>
        </w:tc>
        <w:tc>
          <w:tcPr>
            <w:tcW w:w="1153" w:type="dxa"/>
            <w:vAlign w:val="top"/>
          </w:tcPr>
          <w:p>
            <w:pPr>
              <w:spacing w:line="240" w:lineRule="auto"/>
              <w:rPr>
                <w:rFonts w:hint="eastAsia" w:ascii="仿宋" w:hAnsi="仿宋" w:eastAsia="仿宋" w:cs="仿宋"/>
                <w:sz w:val="21"/>
                <w:szCs w:val="21"/>
              </w:rPr>
            </w:pPr>
            <w:r>
              <w:rPr>
                <w:rFonts w:hint="eastAsia" w:ascii="仿宋" w:hAnsi="仿宋" w:eastAsia="仿宋" w:cs="仿宋"/>
                <w:color w:val="000000"/>
                <w:kern w:val="0"/>
                <w:sz w:val="21"/>
                <w:szCs w:val="21"/>
              </w:rPr>
              <w:t>潘振辉13143674513</w:t>
            </w:r>
          </w:p>
        </w:tc>
        <w:tc>
          <w:tcPr>
            <w:tcW w:w="1147" w:type="dxa"/>
            <w:tcBorders>
              <w:bottom w:val="single" w:color="auto" w:sz="4" w:space="0"/>
            </w:tcBorders>
            <w:vAlign w:val="top"/>
          </w:tcPr>
          <w:p>
            <w:pPr>
              <w:spacing w:line="240" w:lineRule="auto"/>
              <w:rPr>
                <w:rFonts w:hint="eastAsia" w:ascii="仿宋" w:hAnsi="仿宋" w:eastAsia="仿宋" w:cs="仿宋"/>
                <w:sz w:val="21"/>
                <w:szCs w:val="21"/>
                <w:lang w:eastAsia="zh-CN"/>
              </w:rPr>
            </w:pPr>
            <w:r>
              <w:rPr>
                <w:rFonts w:hint="eastAsia" w:ascii="仿宋" w:hAnsi="仿宋" w:eastAsia="仿宋" w:cs="仿宋"/>
                <w:color w:val="000000"/>
                <w:kern w:val="0"/>
                <w:sz w:val="21"/>
                <w:szCs w:val="21"/>
              </w:rPr>
              <w:t>侯慧嫦15013331088</w:t>
            </w:r>
          </w:p>
        </w:tc>
        <w:tc>
          <w:tcPr>
            <w:tcW w:w="5347" w:type="dxa"/>
            <w:vAlign w:val="top"/>
          </w:tcPr>
          <w:p>
            <w:pPr>
              <w:spacing w:line="240" w:lineRule="auto"/>
              <w:rPr>
                <w:rFonts w:hint="eastAsia" w:ascii="仿宋" w:hAnsi="仿宋" w:eastAsia="仿宋" w:cs="仿宋"/>
                <w:sz w:val="21"/>
                <w:szCs w:val="21"/>
                <w:lang w:eastAsia="zh-CN"/>
              </w:rPr>
            </w:pPr>
            <w:r>
              <w:rPr>
                <w:rFonts w:hint="eastAsia" w:ascii="仿宋" w:hAnsi="仿宋" w:eastAsia="仿宋" w:cs="仿宋"/>
                <w:sz w:val="21"/>
                <w:szCs w:val="21"/>
              </w:rPr>
              <w:t>是经广州市应急管理局审核通过的具备危险化学品企业安全培训资格的培训机构。</w:t>
            </w:r>
            <w:r>
              <w:rPr>
                <w:rFonts w:hint="eastAsia" w:ascii="仿宋" w:hAnsi="仿宋" w:eastAsia="仿宋" w:cs="仿宋"/>
                <w:sz w:val="21"/>
                <w:szCs w:val="21"/>
                <w:shd w:val="clear" w:color="auto" w:fill="FFFFFF"/>
              </w:rPr>
              <w:t>主要有教育咨询、企业安全生产技术服务、消防安全评估技术服务等，组织开展低压电工考证与复审，高危行业主要负责人和安全管理人员考证与复审</w:t>
            </w:r>
            <w:r>
              <w:rPr>
                <w:rFonts w:hint="eastAsia" w:ascii="仿宋" w:hAnsi="仿宋" w:eastAsia="仿宋" w:cs="仿宋"/>
                <w:sz w:val="21"/>
                <w:szCs w:val="21"/>
                <w:shd w:val="clear" w:color="auto" w:fill="FFFFFF"/>
                <w:lang w:eastAsia="zh-CN"/>
              </w:rPr>
              <w:t>。</w:t>
            </w:r>
          </w:p>
        </w:tc>
        <w:tc>
          <w:tcPr>
            <w:tcW w:w="2588" w:type="dxa"/>
          </w:tcPr>
          <w:p>
            <w:pPr>
              <w:spacing w:line="240" w:lineRule="auto"/>
              <w:rPr>
                <w:rFonts w:hint="eastAsia" w:ascii="仿宋" w:hAnsi="仿宋" w:eastAsia="仿宋" w:cs="仿宋"/>
                <w:sz w:val="21"/>
                <w:szCs w:val="21"/>
              </w:rPr>
            </w:pPr>
            <w:r>
              <w:rPr>
                <w:rFonts w:hint="eastAsia" w:ascii="仿宋" w:hAnsi="仿宋" w:eastAsia="仿宋" w:cs="仿宋"/>
                <w:color w:val="000000"/>
                <w:kern w:val="0"/>
                <w:sz w:val="21"/>
                <w:szCs w:val="21"/>
              </w:rPr>
              <w:t>广州市花都区秀全街花港大道36号自编12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759" w:type="dxa"/>
            <w:vAlign w:val="top"/>
          </w:tcPr>
          <w:p>
            <w:pPr>
              <w:spacing w:line="560" w:lineRule="exact"/>
              <w:jc w:val="center"/>
              <w:rPr>
                <w:rFonts w:ascii="仿宋" w:hAnsi="仿宋" w:eastAsia="仿宋"/>
                <w:sz w:val="21"/>
                <w:szCs w:val="21"/>
              </w:rPr>
            </w:pPr>
            <w:r>
              <w:rPr>
                <w:rFonts w:hint="eastAsia" w:ascii="仿宋" w:hAnsi="仿宋" w:eastAsia="仿宋"/>
                <w:sz w:val="21"/>
                <w:szCs w:val="21"/>
                <w:lang w:val="en-US" w:eastAsia="zh-CN"/>
              </w:rPr>
              <w:t>2</w:t>
            </w:r>
          </w:p>
        </w:tc>
        <w:tc>
          <w:tcPr>
            <w:tcW w:w="1787" w:type="dxa"/>
            <w:vAlign w:val="top"/>
          </w:tcPr>
          <w:p>
            <w:pPr>
              <w:spacing w:line="240" w:lineRule="auto"/>
              <w:rPr>
                <w:rFonts w:hint="eastAsia" w:ascii="仿宋" w:hAnsi="仿宋" w:eastAsia="仿宋" w:cs="仿宋"/>
                <w:sz w:val="21"/>
                <w:szCs w:val="21"/>
              </w:rPr>
            </w:pPr>
            <w:r>
              <w:rPr>
                <w:rFonts w:hint="eastAsia" w:ascii="仿宋" w:hAnsi="仿宋" w:eastAsia="仿宋" w:cs="仿宋"/>
                <w:color w:val="000000"/>
                <w:sz w:val="21"/>
                <w:szCs w:val="21"/>
              </w:rPr>
              <w:t>广州市花都区应急管理和安全生产协会</w:t>
            </w:r>
          </w:p>
        </w:tc>
        <w:tc>
          <w:tcPr>
            <w:tcW w:w="1300" w:type="dxa"/>
            <w:vAlign w:val="top"/>
          </w:tcPr>
          <w:p>
            <w:pPr>
              <w:spacing w:line="240"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安全生产教育培训</w:t>
            </w:r>
          </w:p>
        </w:tc>
        <w:tc>
          <w:tcPr>
            <w:tcW w:w="1153" w:type="dxa"/>
            <w:vAlign w:val="top"/>
          </w:tcPr>
          <w:p>
            <w:pPr>
              <w:spacing w:line="240" w:lineRule="auto"/>
              <w:rPr>
                <w:rFonts w:hint="eastAsia" w:ascii="仿宋" w:hAnsi="仿宋" w:eastAsia="仿宋" w:cs="仿宋"/>
                <w:sz w:val="21"/>
                <w:szCs w:val="21"/>
              </w:rPr>
            </w:pPr>
            <w:r>
              <w:rPr>
                <w:rFonts w:hint="eastAsia" w:ascii="仿宋" w:hAnsi="仿宋" w:eastAsia="仿宋" w:cs="仿宋"/>
                <w:color w:val="000000"/>
                <w:sz w:val="21"/>
                <w:szCs w:val="21"/>
              </w:rPr>
              <w:t>毕景楼13711389218</w:t>
            </w:r>
          </w:p>
        </w:tc>
        <w:tc>
          <w:tcPr>
            <w:tcW w:w="1147" w:type="dxa"/>
            <w:tcBorders>
              <w:top w:val="single" w:color="auto" w:sz="4" w:space="0"/>
              <w:bottom w:val="single" w:color="auto" w:sz="4" w:space="0"/>
            </w:tcBorders>
            <w:vAlign w:val="top"/>
          </w:tcPr>
          <w:p>
            <w:pPr>
              <w:spacing w:line="240" w:lineRule="auto"/>
              <w:rPr>
                <w:rFonts w:hint="eastAsia" w:ascii="仿宋" w:hAnsi="仿宋" w:eastAsia="仿宋" w:cs="仿宋"/>
                <w:sz w:val="21"/>
                <w:szCs w:val="21"/>
              </w:rPr>
            </w:pPr>
            <w:r>
              <w:rPr>
                <w:rFonts w:hint="eastAsia" w:ascii="仿宋" w:hAnsi="仿宋" w:eastAsia="仿宋" w:cs="仿宋"/>
                <w:color w:val="000000"/>
                <w:sz w:val="21"/>
                <w:szCs w:val="21"/>
              </w:rPr>
              <w:t>郭惠敏13902392108</w:t>
            </w:r>
          </w:p>
        </w:tc>
        <w:tc>
          <w:tcPr>
            <w:tcW w:w="5347" w:type="dxa"/>
            <w:vAlign w:val="top"/>
          </w:tcPr>
          <w:p>
            <w:pPr>
              <w:spacing w:line="240" w:lineRule="auto"/>
              <w:rPr>
                <w:rFonts w:hint="eastAsia" w:ascii="仿宋" w:hAnsi="仿宋" w:eastAsia="仿宋" w:cs="仿宋"/>
                <w:sz w:val="21"/>
                <w:szCs w:val="21"/>
              </w:rPr>
            </w:pPr>
            <w:r>
              <w:rPr>
                <w:rFonts w:hint="eastAsia" w:ascii="仿宋" w:hAnsi="仿宋" w:eastAsia="仿宋" w:cs="仿宋"/>
                <w:sz w:val="21"/>
                <w:szCs w:val="21"/>
              </w:rPr>
              <w:t>开展应急管理、安全生产和职业健康宣传教育和培训活动,提供应急管理、安全生产相关咨询、评价和技术服务,组织调研考察、交流合作、技术推广，加强自律管理;承接政府职能转移、委托和购买服务等事项;出版书刊。</w:t>
            </w:r>
          </w:p>
        </w:tc>
        <w:tc>
          <w:tcPr>
            <w:tcW w:w="2588" w:type="dxa"/>
          </w:tcPr>
          <w:p>
            <w:pPr>
              <w:spacing w:line="240" w:lineRule="auto"/>
              <w:rPr>
                <w:rFonts w:hint="eastAsia" w:ascii="仿宋" w:hAnsi="仿宋" w:eastAsia="仿宋" w:cs="仿宋"/>
                <w:sz w:val="21"/>
                <w:szCs w:val="21"/>
              </w:rPr>
            </w:pPr>
            <w:r>
              <w:rPr>
                <w:rFonts w:hint="eastAsia" w:ascii="仿宋" w:hAnsi="仿宋" w:eastAsia="仿宋" w:cs="仿宋"/>
                <w:color w:val="000000"/>
                <w:kern w:val="0"/>
                <w:sz w:val="21"/>
                <w:szCs w:val="21"/>
              </w:rPr>
              <w:t>广州市花都区新华街红珠路15号之6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759" w:type="dxa"/>
            <w:vAlign w:val="top"/>
          </w:tcPr>
          <w:p>
            <w:pPr>
              <w:spacing w:line="560" w:lineRule="exact"/>
              <w:jc w:val="center"/>
              <w:rPr>
                <w:rFonts w:hint="eastAsia" w:ascii="仿宋" w:hAnsi="仿宋" w:eastAsia="仿宋"/>
                <w:sz w:val="21"/>
                <w:szCs w:val="21"/>
                <w:lang w:val="en-US" w:eastAsia="zh-CN"/>
              </w:rPr>
            </w:pPr>
            <w:r>
              <w:rPr>
                <w:rFonts w:hint="eastAsia" w:ascii="仿宋" w:hAnsi="仿宋" w:eastAsia="仿宋"/>
                <w:sz w:val="21"/>
                <w:szCs w:val="21"/>
                <w:lang w:val="en-US" w:eastAsia="zh-CN"/>
              </w:rPr>
              <w:t>3</w:t>
            </w:r>
          </w:p>
        </w:tc>
        <w:tc>
          <w:tcPr>
            <w:tcW w:w="1787" w:type="dxa"/>
            <w:vAlign w:val="top"/>
          </w:tcPr>
          <w:p>
            <w:pPr>
              <w:spacing w:line="240" w:lineRule="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rPr>
              <w:t>广州市花都区</w:t>
            </w:r>
            <w:r>
              <w:rPr>
                <w:rFonts w:hint="eastAsia" w:ascii="仿宋" w:hAnsi="仿宋" w:eastAsia="仿宋" w:cs="仿宋"/>
                <w:color w:val="000000"/>
                <w:sz w:val="21"/>
                <w:szCs w:val="21"/>
                <w:lang w:val="en-US" w:eastAsia="zh-CN"/>
              </w:rPr>
              <w:t>云山职业培训学校</w:t>
            </w:r>
          </w:p>
        </w:tc>
        <w:tc>
          <w:tcPr>
            <w:tcW w:w="1300" w:type="dxa"/>
            <w:vAlign w:val="top"/>
          </w:tcPr>
          <w:p>
            <w:pPr>
              <w:spacing w:line="240"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安全生产教育培训</w:t>
            </w:r>
          </w:p>
        </w:tc>
        <w:tc>
          <w:tcPr>
            <w:tcW w:w="1153" w:type="dxa"/>
            <w:vAlign w:val="top"/>
          </w:tcPr>
          <w:p>
            <w:pPr>
              <w:spacing w:line="240" w:lineRule="auto"/>
              <w:rPr>
                <w:rFonts w:hint="eastAsia" w:ascii="仿宋" w:hAnsi="仿宋" w:eastAsia="仿宋" w:cs="仿宋"/>
                <w:color w:val="000000"/>
                <w:sz w:val="21"/>
                <w:szCs w:val="21"/>
              </w:rPr>
            </w:pPr>
            <w:r>
              <w:rPr>
                <w:rFonts w:hint="eastAsia" w:ascii="仿宋" w:hAnsi="仿宋" w:eastAsia="仿宋" w:cs="仿宋"/>
                <w:sz w:val="21"/>
                <w:szCs w:val="21"/>
                <w:lang w:eastAsia="zh-CN"/>
              </w:rPr>
              <w:t>肖栋梁</w:t>
            </w:r>
            <w:r>
              <w:rPr>
                <w:rFonts w:hint="eastAsia" w:ascii="仿宋" w:hAnsi="仿宋" w:eastAsia="仿宋" w:cs="仿宋"/>
                <w:sz w:val="21"/>
                <w:szCs w:val="21"/>
                <w:lang w:val="en-US" w:eastAsia="zh-CN"/>
              </w:rPr>
              <w:t>13600016819</w:t>
            </w:r>
          </w:p>
        </w:tc>
        <w:tc>
          <w:tcPr>
            <w:tcW w:w="1147" w:type="dxa"/>
            <w:tcBorders>
              <w:top w:val="single" w:color="auto" w:sz="4" w:space="0"/>
              <w:bottom w:val="single" w:color="auto" w:sz="4" w:space="0"/>
            </w:tcBorders>
            <w:vAlign w:val="top"/>
          </w:tcPr>
          <w:p>
            <w:pPr>
              <w:spacing w:line="240" w:lineRule="auto"/>
              <w:rPr>
                <w:rFonts w:hint="eastAsia" w:ascii="仿宋" w:hAnsi="仿宋" w:eastAsia="仿宋" w:cs="仿宋"/>
                <w:color w:val="000000"/>
                <w:sz w:val="21"/>
                <w:szCs w:val="21"/>
              </w:rPr>
            </w:pPr>
            <w:r>
              <w:rPr>
                <w:rFonts w:hint="eastAsia" w:ascii="仿宋" w:hAnsi="仿宋" w:eastAsia="仿宋" w:cs="仿宋"/>
                <w:sz w:val="21"/>
                <w:szCs w:val="21"/>
                <w:lang w:eastAsia="zh-CN"/>
              </w:rPr>
              <w:t>肖栋梁</w:t>
            </w:r>
            <w:r>
              <w:rPr>
                <w:rFonts w:hint="eastAsia" w:ascii="仿宋" w:hAnsi="仿宋" w:eastAsia="仿宋" w:cs="仿宋"/>
                <w:sz w:val="21"/>
                <w:szCs w:val="21"/>
                <w:lang w:val="en-US" w:eastAsia="zh-CN"/>
              </w:rPr>
              <w:t>13600016819</w:t>
            </w:r>
          </w:p>
        </w:tc>
        <w:tc>
          <w:tcPr>
            <w:tcW w:w="5347" w:type="dxa"/>
            <w:vAlign w:val="top"/>
          </w:tcPr>
          <w:p>
            <w:pPr>
              <w:spacing w:line="240"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班组长安全技能提升培训，新员工、继续教育员工安全技能培训（待审批中）。</w:t>
            </w:r>
          </w:p>
        </w:tc>
        <w:tc>
          <w:tcPr>
            <w:tcW w:w="2588" w:type="dxa"/>
          </w:tcPr>
          <w:p>
            <w:pPr>
              <w:spacing w:line="240" w:lineRule="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广州市</w:t>
            </w:r>
            <w:r>
              <w:rPr>
                <w:rFonts w:hint="eastAsia" w:ascii="仿宋" w:hAnsi="仿宋" w:eastAsia="仿宋" w:cs="仿宋"/>
                <w:sz w:val="21"/>
                <w:szCs w:val="21"/>
                <w:lang w:val="en-US" w:eastAsia="zh-CN"/>
              </w:rPr>
              <w:t>花都区天贵路56号美景花园二楼</w:t>
            </w:r>
          </w:p>
        </w:tc>
      </w:tr>
    </w:tbl>
    <w:p/>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-219075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5</w:t>
                          </w:r>
                          <w:r>
                            <w:rPr>
                              <w:rFonts w:ascii="Times New Roman" w:hAnsi="Times New Roman" w:cs="Times New Roman"/>
                              <w:sz w:val="24"/>
                            </w:rPr>
                            <w:fldChar w:fldCharType="end"/>
                          </w:r>
                          <w:r>
                            <w:rPr>
                              <w:rFonts w:ascii="Times New Roman" w:hAnsi="Times New Roman" w:cs="Times New Roman"/>
                              <w:sz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7.25pt;height:144pt;width:144pt;mso-position-horizontal:outside;mso-position-horizontal-relative:margin;mso-wrap-style:none;z-index:251658240;mso-width-relative:page;mso-height-relative:page;" filled="f" stroked="f" coordsize="21600,21600" o:gfxdata="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8y+A3WAAAACAEAAA8A&#10;AAAAAAAAAQAgAAAAIgAAAGRycy9kb3ducmV2LnhtbFBLAQIUABQAAAAIAIdO4kArqOpyGQIAACEE&#10;AAAOAAAAAAAAAAEAIAAAACUBAABkcnMvZTJvRG9jLnhtbFBLBQYAAAAABgAGAFkBAACwBQAAAAA=&#10;">
              <v:fill on="f" focussize="0,0"/>
              <v:stroke on="f" weight="0.5pt"/>
              <v:imagedata o:title=""/>
              <o:lock v:ext="edit" aspectratio="f"/>
              <v:textbox inset="0mm,0mm,0mm,0mm" style="mso-fit-shape-to-text:t;">
                <w:txbxContent>
                  <w:p>
                    <w:pPr>
                      <w:pStyle w:val="6"/>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5</w:t>
                    </w:r>
                    <w:r>
                      <w:rPr>
                        <w:rFonts w:ascii="Times New Roman" w:hAnsi="Times New Roman" w:cs="Times New Roman"/>
                        <w:sz w:val="24"/>
                      </w:rPr>
                      <w:fldChar w:fldCharType="end"/>
                    </w:r>
                    <w:r>
                      <w:rPr>
                        <w:rFonts w:ascii="Times New Roman" w:hAnsi="Times New Roman" w:cs="Times New Roman"/>
                        <w:sz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7526B0"/>
    <w:rsid w:val="0AD206BB"/>
    <w:rsid w:val="2CAF0EA7"/>
    <w:rsid w:val="2DF410CA"/>
    <w:rsid w:val="33C30790"/>
    <w:rsid w:val="341318E2"/>
    <w:rsid w:val="365E32CB"/>
    <w:rsid w:val="38B12713"/>
    <w:rsid w:val="48882195"/>
    <w:rsid w:val="4E8077A2"/>
    <w:rsid w:val="51097B42"/>
    <w:rsid w:val="515E15D9"/>
    <w:rsid w:val="5343494E"/>
    <w:rsid w:val="5A7526B0"/>
    <w:rsid w:val="6A161725"/>
    <w:rsid w:val="71923702"/>
    <w:rsid w:val="74DE4B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14"/>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link w:val="15"/>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unhideWhenUsed/>
    <w:qFormat/>
    <w:uiPriority w:val="99"/>
    <w:pPr>
      <w:snapToGrid/>
      <w:spacing w:beforeAutospacing="1" w:afterAutospacing="1"/>
      <w:ind w:left="0" w:firstLine="420" w:firstLineChars="200"/>
      <w:outlineLvl w:val="8"/>
    </w:pPr>
    <w:rPr>
      <w:rFonts w:ascii="Times New Roman" w:hAnsi="Times New Roman" w:eastAsia="宋体"/>
      <w:sz w:val="28"/>
    </w:rPr>
  </w:style>
  <w:style w:type="paragraph" w:styleId="3">
    <w:name w:val="Body Text Indent"/>
    <w:basedOn w:val="1"/>
    <w:unhideWhenUsed/>
    <w:qFormat/>
    <w:uiPriority w:val="99"/>
    <w:pPr>
      <w:widowControl/>
      <w:overflowPunct w:val="0"/>
      <w:autoSpaceDE w:val="0"/>
      <w:autoSpaceDN w:val="0"/>
      <w:adjustRightInd w:val="0"/>
      <w:spacing w:after="240"/>
      <w:ind w:left="360"/>
      <w:textAlignment w:val="baseline"/>
    </w:pPr>
    <w:rPr>
      <w:kern w:val="0"/>
      <w:sz w:val="22"/>
      <w:lang w:val="en-GB"/>
    </w:r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color w:val="666666"/>
      <w:kern w:val="0"/>
      <w:sz w:val="24"/>
      <w:lang w:val="en-US" w:eastAsia="zh-CN" w:bidi="ar"/>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Normal Indent"/>
    <w:basedOn w:val="1"/>
    <w:qFormat/>
    <w:uiPriority w:val="0"/>
    <w:pPr>
      <w:ind w:firstLine="420" w:firstLineChars="200"/>
    </w:pPr>
    <w:rPr>
      <w:rFonts w:hint="eastAsia"/>
    </w:rPr>
  </w:style>
  <w:style w:type="paragraph" w:styleId="12">
    <w:name w:val="List Paragraph"/>
    <w:basedOn w:val="1"/>
    <w:unhideWhenUsed/>
    <w:qFormat/>
    <w:uiPriority w:val="99"/>
    <w:pPr>
      <w:ind w:firstLine="420" w:firstLineChars="200"/>
    </w:pPr>
  </w:style>
  <w:style w:type="paragraph" w:customStyle="1" w:styleId="13">
    <w:name w:val="Other|1"/>
    <w:basedOn w:val="1"/>
    <w:qFormat/>
    <w:uiPriority w:val="0"/>
    <w:pPr>
      <w:widowControl w:val="0"/>
      <w:shd w:val="clear" w:color="auto" w:fill="auto"/>
      <w:spacing w:line="418" w:lineRule="auto"/>
      <w:ind w:firstLine="400"/>
    </w:pPr>
    <w:rPr>
      <w:rFonts w:ascii="宋体" w:hAnsi="宋体" w:eastAsia="宋体" w:cs="宋体"/>
      <w:sz w:val="28"/>
      <w:szCs w:val="28"/>
      <w:u w:val="none"/>
      <w:shd w:val="clear" w:color="auto" w:fill="auto"/>
      <w:lang w:val="zh-TW" w:eastAsia="zh-TW" w:bidi="zh-TW"/>
    </w:rPr>
  </w:style>
  <w:style w:type="character" w:customStyle="1" w:styleId="14">
    <w:name w:val="标题 1 Char"/>
    <w:link w:val="4"/>
    <w:qFormat/>
    <w:uiPriority w:val="0"/>
    <w:rPr>
      <w:b/>
      <w:kern w:val="44"/>
      <w:sz w:val="44"/>
    </w:rPr>
  </w:style>
  <w:style w:type="character" w:customStyle="1" w:styleId="15">
    <w:name w:val="标题 2 Char"/>
    <w:link w:val="5"/>
    <w:qFormat/>
    <w:uiPriority w:val="0"/>
    <w:rPr>
      <w:rFonts w:ascii="Arial" w:hAnsi="Arial" w:eastAsia="黑体"/>
      <w:b/>
      <w:sz w:val="32"/>
    </w:rPr>
  </w:style>
  <w:style w:type="paragraph" w:customStyle="1" w:styleId="16">
    <w:name w:val="p0"/>
    <w:basedOn w:val="1"/>
    <w:qFormat/>
    <w:uiPriority w:val="0"/>
    <w:pPr>
      <w:widowControl/>
    </w:pPr>
    <w:rPr>
      <w:rFonts w:hint="eastAsia" w:ascii="Calibri" w:hAnsi="Calibr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区安全生产监督管理局</Company>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2021-03-15T08:42:00Z</dcterms:created>
  <dc:creator>Administrator</dc:creator>
  <cp:lastModifiedBy>crystal</cp:lastModifiedBy>
  <cp:lastPrinted>2021-03-17T02:14:00Z</cp:lastPrinted>
  <dcterms:modified xsi:type="dcterms:W3CDTF">2021-03-18T07:58:03Z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