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70" w:lineRule="exact"/>
        <w:ind w:firstLine="0" w:firstLineChars="0"/>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广州市花都区人民政府新雅街道办事处</w:t>
      </w:r>
    </w:p>
    <w:p>
      <w:pPr>
        <w:keepNext w:val="0"/>
        <w:keepLines w:val="0"/>
        <w:pageBreakBefore w:val="0"/>
        <w:widowControl w:val="0"/>
        <w:kinsoku/>
        <w:wordWrap/>
        <w:overflowPunct/>
        <w:topLinePunct w:val="0"/>
        <w:autoSpaceDE/>
        <w:autoSpaceDN/>
        <w:bidi w:val="0"/>
        <w:adjustRightInd w:val="0"/>
        <w:snapToGrid w:val="0"/>
        <w:spacing w:line="570" w:lineRule="exact"/>
        <w:ind w:firstLine="0" w:firstLineChars="0"/>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2019年度部门整体绩效评价简要报告</w:t>
      </w:r>
    </w:p>
    <w:p>
      <w:pPr>
        <w:keepNext w:val="0"/>
        <w:keepLines w:val="0"/>
        <w:pageBreakBefore w:val="0"/>
        <w:widowControl w:val="0"/>
        <w:kinsoku/>
        <w:wordWrap/>
        <w:overflowPunct/>
        <w:topLinePunct w:val="0"/>
        <w:autoSpaceDE/>
        <w:autoSpaceDN/>
        <w:bidi w:val="0"/>
        <w:adjustRightInd w:val="0"/>
        <w:spacing w:line="570" w:lineRule="exact"/>
        <w:ind w:firstLine="0" w:firstLineChars="0"/>
        <w:jc w:val="center"/>
        <w:textAlignment w:val="auto"/>
      </w:pPr>
      <w:r>
        <w:t>致同会计师事务所（特殊普通合伙）广州分所</w:t>
      </w:r>
    </w:p>
    <w:p>
      <w:pPr>
        <w:pStyle w:val="2"/>
        <w:keepNext w:val="0"/>
        <w:keepLines w:val="0"/>
        <w:pageBreakBefore w:val="0"/>
        <w:widowControl w:val="0"/>
        <w:kinsoku/>
        <w:wordWrap/>
        <w:overflowPunct/>
        <w:topLinePunct w:val="0"/>
        <w:autoSpaceDE/>
        <w:autoSpaceDN/>
        <w:bidi w:val="0"/>
        <w:adjustRightInd w:val="0"/>
        <w:spacing w:line="570" w:lineRule="exact"/>
        <w:ind w:firstLine="640"/>
        <w:textAlignment w:val="auto"/>
      </w:pPr>
      <w:bookmarkStart w:id="0" w:name="_Toc18998887"/>
      <w:bookmarkStart w:id="1" w:name="_Toc42517919"/>
      <w:bookmarkStart w:id="2" w:name="_Toc14769804"/>
    </w:p>
    <w:p>
      <w:pPr>
        <w:pStyle w:val="2"/>
        <w:keepNext w:val="0"/>
        <w:keepLines w:val="0"/>
        <w:pageBreakBefore w:val="0"/>
        <w:widowControl w:val="0"/>
        <w:kinsoku/>
        <w:wordWrap/>
        <w:overflowPunct/>
        <w:topLinePunct w:val="0"/>
        <w:autoSpaceDE/>
        <w:autoSpaceDN/>
        <w:bidi w:val="0"/>
        <w:adjustRightInd w:val="0"/>
        <w:spacing w:line="570" w:lineRule="exact"/>
        <w:ind w:firstLine="640"/>
        <w:textAlignment w:val="auto"/>
        <w:rPr>
          <w:b w:val="0"/>
          <w:bCs/>
        </w:rPr>
      </w:pPr>
      <w:r>
        <w:rPr>
          <w:b w:val="0"/>
          <w:bCs/>
        </w:rPr>
        <w:t>一、</w:t>
      </w:r>
      <w:r>
        <w:rPr>
          <w:rFonts w:hint="eastAsia"/>
          <w:b w:val="0"/>
          <w:bCs/>
        </w:rPr>
        <w:t>评价</w:t>
      </w:r>
      <w:r>
        <w:rPr>
          <w:b w:val="0"/>
          <w:bCs/>
        </w:rPr>
        <w:t>概况</w:t>
      </w:r>
      <w:bookmarkEnd w:id="0"/>
      <w:bookmarkEnd w:id="1"/>
      <w:bookmarkEnd w:id="2"/>
    </w:p>
    <w:p>
      <w:pPr>
        <w:keepNext w:val="0"/>
        <w:keepLines w:val="0"/>
        <w:pageBreakBefore w:val="0"/>
        <w:widowControl w:val="0"/>
        <w:kinsoku/>
        <w:wordWrap/>
        <w:overflowPunct/>
        <w:topLinePunct w:val="0"/>
        <w:autoSpaceDE/>
        <w:autoSpaceDN/>
        <w:bidi w:val="0"/>
        <w:adjustRightInd w:val="0"/>
        <w:spacing w:line="570" w:lineRule="exact"/>
        <w:ind w:firstLine="640"/>
        <w:textAlignment w:val="auto"/>
        <w:rPr>
          <w:rFonts w:hint="eastAsia"/>
          <w:b w:val="0"/>
          <w:bCs/>
        </w:rPr>
      </w:pPr>
      <w:r>
        <w:rPr>
          <w:rFonts w:hint="eastAsia"/>
          <w:b w:val="0"/>
          <w:bCs/>
        </w:rPr>
        <w:t>广州市花都区人民政府新雅街道办事处共设行政单位2个、事业单位4个。纳入新雅街道办部门预决算编报范围的单位共6个，包括办本级和下属5个单位。</w:t>
      </w:r>
      <w:r>
        <w:rPr>
          <w:b w:val="0"/>
          <w:bCs/>
        </w:rPr>
        <w:t>201</w:t>
      </w:r>
      <w:r>
        <w:rPr>
          <w:rFonts w:hint="eastAsia"/>
          <w:b w:val="0"/>
          <w:bCs/>
        </w:rPr>
        <w:t>9</w:t>
      </w:r>
      <w:r>
        <w:rPr>
          <w:b w:val="0"/>
          <w:bCs/>
        </w:rPr>
        <w:t>年部门</w:t>
      </w:r>
      <w:r>
        <w:rPr>
          <w:rFonts w:hint="eastAsia"/>
          <w:b w:val="0"/>
          <w:bCs/>
        </w:rPr>
        <w:t>整体</w:t>
      </w:r>
      <w:r>
        <w:rPr>
          <w:b w:val="0"/>
          <w:bCs/>
        </w:rPr>
        <w:t>年初</w:t>
      </w:r>
      <w:r>
        <w:rPr>
          <w:rFonts w:hint="eastAsia"/>
          <w:b w:val="0"/>
          <w:bCs/>
        </w:rPr>
        <w:t>预算数为35,082.40</w:t>
      </w:r>
      <w:r>
        <w:rPr>
          <w:b w:val="0"/>
          <w:bCs/>
        </w:rPr>
        <w:t>万元，</w:t>
      </w:r>
      <w:r>
        <w:rPr>
          <w:rFonts w:hint="eastAsia"/>
          <w:b w:val="0"/>
          <w:bCs/>
        </w:rPr>
        <w:t>经调整后的年度预算数为19,008.39万元，实际支出19,008.29万元，预算支出执行率为100%。2019年编制人数为77人，实际在编人数73人，另有长期聘用人员717人。2019年度，新雅街道办围绕三大重点工作任务，着力平安建设，社会和谐稳定，坚持新发展理念，推动经济高质量发展，并落实各项惠民措施，创造民生保障新业绩，探索乡村振兴新路径，推进城乡发展新变化。</w:t>
      </w:r>
    </w:p>
    <w:p>
      <w:pPr>
        <w:keepNext w:val="0"/>
        <w:keepLines w:val="0"/>
        <w:pageBreakBefore w:val="0"/>
        <w:widowControl w:val="0"/>
        <w:kinsoku/>
        <w:wordWrap/>
        <w:overflowPunct/>
        <w:topLinePunct w:val="0"/>
        <w:autoSpaceDE/>
        <w:autoSpaceDN/>
        <w:bidi w:val="0"/>
        <w:adjustRightInd w:val="0"/>
        <w:spacing w:line="570" w:lineRule="exact"/>
        <w:ind w:firstLine="640"/>
        <w:textAlignment w:val="auto"/>
        <w:rPr>
          <w:b w:val="0"/>
          <w:bCs/>
        </w:rPr>
      </w:pPr>
      <w:r>
        <w:rPr>
          <w:rFonts w:hint="eastAsia"/>
          <w:b w:val="0"/>
          <w:bCs/>
        </w:rPr>
        <w:t>本次评价采用目标预定与实施效果比较法、专家评议法、现场核查法等方法，围绕预算资金管理、绩效管理、资产管理、产出、效益等方面实施绩效评价。经综合评定，新雅街道办2019年度部门整体支出绩效评价等级为“良”。</w:t>
      </w:r>
    </w:p>
    <w:p>
      <w:pPr>
        <w:pStyle w:val="2"/>
        <w:keepNext w:val="0"/>
        <w:keepLines w:val="0"/>
        <w:pageBreakBefore w:val="0"/>
        <w:widowControl w:val="0"/>
        <w:kinsoku/>
        <w:wordWrap/>
        <w:overflowPunct/>
        <w:topLinePunct w:val="0"/>
        <w:autoSpaceDE/>
        <w:autoSpaceDN/>
        <w:bidi w:val="0"/>
        <w:adjustRightInd w:val="0"/>
        <w:spacing w:line="570" w:lineRule="exact"/>
        <w:ind w:firstLine="640"/>
        <w:textAlignment w:val="auto"/>
        <w:rPr>
          <w:rFonts w:hint="eastAsia"/>
          <w:b w:val="0"/>
          <w:bCs/>
        </w:rPr>
      </w:pPr>
      <w:bookmarkStart w:id="3" w:name="_Toc18998905"/>
      <w:bookmarkStart w:id="4" w:name="_Toc14769813"/>
      <w:bookmarkStart w:id="5" w:name="_Toc42517929"/>
      <w:bookmarkStart w:id="6" w:name="_Toc6997247"/>
      <w:bookmarkStart w:id="7" w:name="_Toc14769808"/>
      <w:r>
        <w:rPr>
          <w:rFonts w:hint="eastAsia"/>
          <w:b w:val="0"/>
          <w:bCs/>
        </w:rPr>
        <w:t>二</w:t>
      </w:r>
      <w:r>
        <w:rPr>
          <w:b w:val="0"/>
          <w:bCs/>
        </w:rPr>
        <w:t>、</w:t>
      </w:r>
      <w:bookmarkEnd w:id="3"/>
      <w:bookmarkEnd w:id="4"/>
      <w:bookmarkEnd w:id="5"/>
      <w:r>
        <w:rPr>
          <w:rFonts w:hint="eastAsia"/>
          <w:b w:val="0"/>
          <w:bCs/>
        </w:rPr>
        <w:t>绩效</w:t>
      </w:r>
      <w:r>
        <w:rPr>
          <w:b w:val="0"/>
          <w:bCs/>
        </w:rPr>
        <w:t>目标</w:t>
      </w:r>
    </w:p>
    <w:p>
      <w:pPr>
        <w:pStyle w:val="3"/>
        <w:keepNext w:val="0"/>
        <w:keepLines w:val="0"/>
        <w:pageBreakBefore w:val="0"/>
        <w:widowControl w:val="0"/>
        <w:kinsoku/>
        <w:wordWrap/>
        <w:overflowPunct/>
        <w:topLinePunct w:val="0"/>
        <w:autoSpaceDE/>
        <w:autoSpaceDN/>
        <w:bidi w:val="0"/>
        <w:adjustRightInd w:val="0"/>
        <w:spacing w:line="570" w:lineRule="exact"/>
        <w:textAlignment w:val="auto"/>
        <w:rPr>
          <w:rFonts w:hint="eastAsia"/>
          <w:b w:val="0"/>
          <w:bCs/>
        </w:rPr>
      </w:pPr>
      <w:r>
        <w:rPr>
          <w:rFonts w:hint="eastAsia"/>
          <w:b w:val="0"/>
          <w:bCs/>
        </w:rPr>
        <w:t>（一）目标设置</w:t>
      </w:r>
    </w:p>
    <w:p>
      <w:pPr>
        <w:keepNext w:val="0"/>
        <w:keepLines w:val="0"/>
        <w:pageBreakBefore w:val="0"/>
        <w:widowControl w:val="0"/>
        <w:kinsoku/>
        <w:wordWrap/>
        <w:overflowPunct/>
        <w:topLinePunct w:val="0"/>
        <w:autoSpaceDE/>
        <w:autoSpaceDN/>
        <w:bidi w:val="0"/>
        <w:adjustRightInd w:val="0"/>
        <w:spacing w:line="570" w:lineRule="exact"/>
        <w:ind w:firstLine="640"/>
        <w:textAlignment w:val="auto"/>
        <w:rPr>
          <w:rFonts w:hint="eastAsia"/>
          <w:b w:val="0"/>
          <w:bCs/>
        </w:rPr>
      </w:pPr>
      <w:r>
        <w:rPr>
          <w:rFonts w:hint="eastAsia"/>
          <w:b w:val="0"/>
          <w:bCs/>
        </w:rPr>
        <w:t>新雅街道办根据2019年的工作安排以及“三定”方案确定的部门职责，围绕重点工作任务设定了年度的绩效指标和目标值，并针对部门年度目标设立了8大项关键指标、49项细化指标，指标内容基本明确，可量化考核。但存在跨年度项目未设定年度目标值、部分指标设定不够科学、目标可行性论证不足等问题。</w:t>
      </w:r>
    </w:p>
    <w:p>
      <w:pPr>
        <w:pStyle w:val="3"/>
        <w:keepNext w:val="0"/>
        <w:keepLines w:val="0"/>
        <w:pageBreakBefore w:val="0"/>
        <w:widowControl w:val="0"/>
        <w:kinsoku/>
        <w:wordWrap/>
        <w:overflowPunct/>
        <w:topLinePunct w:val="0"/>
        <w:autoSpaceDE/>
        <w:autoSpaceDN/>
        <w:bidi w:val="0"/>
        <w:adjustRightInd w:val="0"/>
        <w:spacing w:line="570" w:lineRule="exact"/>
        <w:textAlignment w:val="auto"/>
        <w:rPr>
          <w:rFonts w:hint="eastAsia"/>
          <w:b w:val="0"/>
          <w:bCs/>
        </w:rPr>
      </w:pPr>
      <w:r>
        <w:rPr>
          <w:rFonts w:hint="eastAsia"/>
          <w:b w:val="0"/>
          <w:bCs/>
        </w:rPr>
        <w:t>（二）目标完成情况</w:t>
      </w:r>
    </w:p>
    <w:p>
      <w:pPr>
        <w:keepNext w:val="0"/>
        <w:keepLines w:val="0"/>
        <w:pageBreakBefore w:val="0"/>
        <w:widowControl w:val="0"/>
        <w:kinsoku/>
        <w:wordWrap/>
        <w:overflowPunct/>
        <w:topLinePunct w:val="0"/>
        <w:autoSpaceDE/>
        <w:autoSpaceDN/>
        <w:bidi w:val="0"/>
        <w:adjustRightInd w:val="0"/>
        <w:spacing w:line="570" w:lineRule="exact"/>
        <w:ind w:firstLine="640"/>
        <w:textAlignment w:val="auto"/>
        <w:rPr>
          <w:b w:val="0"/>
          <w:bCs/>
        </w:rPr>
      </w:pPr>
      <w:r>
        <w:rPr>
          <w:rFonts w:hint="eastAsia"/>
          <w:b w:val="0"/>
          <w:bCs/>
        </w:rPr>
        <w:t>新雅街道办49项细化指标中，其中36项细化指标已完成预期目标，13项指标未完成预期目标，预期指标完成率73.47%，大部分的任务完成及时率达到预期目标，但是存在因项目进度滞后等问题未能及时完成部分任务绩效指标。</w:t>
      </w:r>
    </w:p>
    <w:bookmarkEnd w:id="6"/>
    <w:bookmarkEnd w:id="7"/>
    <w:p>
      <w:pPr>
        <w:pStyle w:val="2"/>
        <w:keepNext w:val="0"/>
        <w:keepLines w:val="0"/>
        <w:pageBreakBefore w:val="0"/>
        <w:widowControl w:val="0"/>
        <w:kinsoku/>
        <w:wordWrap/>
        <w:overflowPunct/>
        <w:topLinePunct w:val="0"/>
        <w:autoSpaceDE/>
        <w:autoSpaceDN/>
        <w:bidi w:val="0"/>
        <w:adjustRightInd w:val="0"/>
        <w:spacing w:line="570" w:lineRule="exact"/>
        <w:ind w:firstLine="640"/>
        <w:textAlignment w:val="auto"/>
        <w:rPr>
          <w:b w:val="0"/>
          <w:bCs/>
        </w:rPr>
      </w:pPr>
      <w:bookmarkStart w:id="8" w:name="_Toc18998913"/>
      <w:bookmarkStart w:id="9" w:name="_Toc14769814"/>
      <w:bookmarkStart w:id="10" w:name="_Toc42517932"/>
      <w:r>
        <w:rPr>
          <w:rFonts w:hint="eastAsia"/>
          <w:b w:val="0"/>
          <w:bCs/>
        </w:rPr>
        <w:t>三</w:t>
      </w:r>
      <w:r>
        <w:rPr>
          <w:b w:val="0"/>
          <w:bCs/>
        </w:rPr>
        <w:t>、部门主要绩效</w:t>
      </w:r>
      <w:bookmarkEnd w:id="8"/>
      <w:bookmarkEnd w:id="9"/>
      <w:bookmarkEnd w:id="10"/>
    </w:p>
    <w:p>
      <w:pPr>
        <w:pStyle w:val="3"/>
        <w:keepNext w:val="0"/>
        <w:keepLines w:val="0"/>
        <w:pageBreakBefore w:val="0"/>
        <w:widowControl w:val="0"/>
        <w:kinsoku/>
        <w:wordWrap/>
        <w:overflowPunct/>
        <w:topLinePunct w:val="0"/>
        <w:autoSpaceDE/>
        <w:autoSpaceDN/>
        <w:bidi w:val="0"/>
        <w:adjustRightInd w:val="0"/>
        <w:spacing w:line="570" w:lineRule="exact"/>
        <w:textAlignment w:val="auto"/>
        <w:rPr>
          <w:b w:val="0"/>
          <w:bCs/>
        </w:rPr>
      </w:pPr>
      <w:bookmarkStart w:id="11" w:name="_Toc18998914"/>
      <w:bookmarkStart w:id="12" w:name="_Toc42517933"/>
      <w:bookmarkStart w:id="13" w:name="_Toc14769815"/>
      <w:r>
        <w:rPr>
          <w:b w:val="0"/>
          <w:bCs/>
        </w:rPr>
        <w:t>（一）</w:t>
      </w:r>
      <w:bookmarkEnd w:id="11"/>
      <w:r>
        <w:rPr>
          <w:rFonts w:hint="eastAsia"/>
          <w:b w:val="0"/>
          <w:bCs/>
        </w:rPr>
        <w:t>年度目标指标及工作任务关键性指标完成情况较好，部门整体工作取得一定成效</w:t>
      </w:r>
      <w:bookmarkEnd w:id="12"/>
    </w:p>
    <w:p>
      <w:pPr>
        <w:keepNext w:val="0"/>
        <w:keepLines w:val="0"/>
        <w:pageBreakBefore w:val="0"/>
        <w:widowControl w:val="0"/>
        <w:kinsoku/>
        <w:wordWrap/>
        <w:overflowPunct/>
        <w:topLinePunct w:val="0"/>
        <w:autoSpaceDE/>
        <w:autoSpaceDN/>
        <w:bidi w:val="0"/>
        <w:adjustRightInd w:val="0"/>
        <w:spacing w:line="570" w:lineRule="exact"/>
        <w:ind w:firstLine="643"/>
        <w:textAlignment w:val="auto"/>
        <w:rPr>
          <w:b w:val="0"/>
          <w:bCs/>
        </w:rPr>
      </w:pPr>
      <w:r>
        <w:rPr>
          <w:rFonts w:hint="eastAsia"/>
          <w:b w:val="0"/>
          <w:bCs/>
        </w:rPr>
        <w:t>一是截至</w:t>
      </w:r>
      <w:r>
        <w:rPr>
          <w:b w:val="0"/>
          <w:bCs/>
        </w:rPr>
        <w:t>2019年</w:t>
      </w:r>
      <w:r>
        <w:rPr>
          <w:rFonts w:hint="eastAsia"/>
          <w:b w:val="0"/>
          <w:bCs/>
        </w:rPr>
        <w:t>12</w:t>
      </w:r>
      <w:r>
        <w:rPr>
          <w:b w:val="0"/>
          <w:bCs/>
        </w:rPr>
        <w:t>月3</w:t>
      </w:r>
      <w:r>
        <w:rPr>
          <w:rFonts w:hint="eastAsia"/>
          <w:b w:val="0"/>
          <w:bCs/>
        </w:rPr>
        <w:t>1</w:t>
      </w:r>
      <w:r>
        <w:rPr>
          <w:b w:val="0"/>
          <w:bCs/>
        </w:rPr>
        <w:t>日，年度目标下设的49项细化指标中，3</w:t>
      </w:r>
      <w:r>
        <w:rPr>
          <w:rFonts w:hint="eastAsia"/>
          <w:b w:val="0"/>
          <w:bCs/>
        </w:rPr>
        <w:t>6</w:t>
      </w:r>
      <w:r>
        <w:rPr>
          <w:b w:val="0"/>
          <w:bCs/>
        </w:rPr>
        <w:t>项细化指标已</w:t>
      </w:r>
      <w:r>
        <w:rPr>
          <w:rFonts w:hint="eastAsia"/>
          <w:b w:val="0"/>
          <w:bCs/>
        </w:rPr>
        <w:t>完成预期目标。二是</w:t>
      </w:r>
      <w:r>
        <w:rPr>
          <w:b w:val="0"/>
          <w:bCs/>
        </w:rPr>
        <w:t>新雅街道办2019年所列3大项</w:t>
      </w:r>
      <w:r>
        <w:rPr>
          <w:rFonts w:hint="eastAsia"/>
          <w:b w:val="0"/>
          <w:bCs/>
        </w:rPr>
        <w:t>工作</w:t>
      </w:r>
      <w:r>
        <w:rPr>
          <w:b w:val="0"/>
          <w:bCs/>
        </w:rPr>
        <w:t>任务下设43项指标，</w:t>
      </w:r>
      <w:r>
        <w:rPr>
          <w:rFonts w:hint="eastAsia"/>
          <w:b w:val="0"/>
          <w:bCs/>
        </w:rPr>
        <w:t>37</w:t>
      </w:r>
      <w:r>
        <w:rPr>
          <w:b w:val="0"/>
          <w:bCs/>
        </w:rPr>
        <w:t>项指标预期</w:t>
      </w:r>
      <w:r>
        <w:rPr>
          <w:rFonts w:hint="eastAsia"/>
          <w:b w:val="0"/>
          <w:bCs/>
        </w:rPr>
        <w:t>已</w:t>
      </w:r>
      <w:r>
        <w:rPr>
          <w:b w:val="0"/>
          <w:bCs/>
        </w:rPr>
        <w:t>完成年度目标，</w:t>
      </w:r>
      <w:r>
        <w:rPr>
          <w:rFonts w:hint="eastAsia"/>
          <w:b w:val="0"/>
          <w:bCs/>
        </w:rPr>
        <w:t>预期指标完成率为86.05%。并且，新雅街政务服务中心2019年全年受理行政审批投诉为零，一定程度说明新雅街道办的各项服务和管理工作质量得到群众的认可。</w:t>
      </w:r>
    </w:p>
    <w:p>
      <w:pPr>
        <w:pStyle w:val="3"/>
        <w:keepNext w:val="0"/>
        <w:keepLines w:val="0"/>
        <w:pageBreakBefore w:val="0"/>
        <w:widowControl w:val="0"/>
        <w:kinsoku/>
        <w:wordWrap/>
        <w:overflowPunct/>
        <w:topLinePunct w:val="0"/>
        <w:autoSpaceDE/>
        <w:autoSpaceDN/>
        <w:bidi w:val="0"/>
        <w:adjustRightInd w:val="0"/>
        <w:spacing w:line="570" w:lineRule="exact"/>
        <w:textAlignment w:val="auto"/>
        <w:rPr>
          <w:b w:val="0"/>
          <w:bCs/>
        </w:rPr>
      </w:pPr>
      <w:bookmarkStart w:id="14" w:name="_Toc42517934"/>
      <w:r>
        <w:rPr>
          <w:rFonts w:hint="eastAsia"/>
          <w:b w:val="0"/>
          <w:bCs/>
        </w:rPr>
        <w:t>（二）新雅街2019年经济保持稳定增长，农村劳动力转移就业率较高</w:t>
      </w:r>
      <w:bookmarkEnd w:id="14"/>
    </w:p>
    <w:p>
      <w:pPr>
        <w:keepNext w:val="0"/>
        <w:keepLines w:val="0"/>
        <w:pageBreakBefore w:val="0"/>
        <w:widowControl w:val="0"/>
        <w:kinsoku/>
        <w:wordWrap/>
        <w:overflowPunct/>
        <w:topLinePunct w:val="0"/>
        <w:autoSpaceDE/>
        <w:autoSpaceDN/>
        <w:bidi w:val="0"/>
        <w:adjustRightInd w:val="0"/>
        <w:spacing w:line="570" w:lineRule="exact"/>
        <w:ind w:firstLine="643"/>
        <w:textAlignment w:val="auto"/>
        <w:rPr>
          <w:b w:val="0"/>
          <w:bCs/>
        </w:rPr>
      </w:pPr>
      <w:r>
        <w:rPr>
          <w:rFonts w:hint="eastAsia"/>
          <w:b w:val="0"/>
          <w:bCs/>
        </w:rPr>
        <w:t>一是新雅街2019年各项经济指标运行良好，全街GDP预计约65.58亿元，税收同比增长7.86%，规上工业产值149.15亿元，限上社会销售品零售总额19.04亿元，固定资产投资完成额13.63亿元，同比增长59.60%。二是农村经济收入稳定增长，农村劳动力转移就业率较高。2019年农村经济总收入同比增长441.79万元，增长率为12.71%。同时，2019年新雅街道办办理网办就业登记10,644人次，网办率为97.79%。农村劳动力转移就业人数为679人，转移就业率达79.32%。</w:t>
      </w:r>
    </w:p>
    <w:p>
      <w:pPr>
        <w:pStyle w:val="3"/>
        <w:keepNext w:val="0"/>
        <w:keepLines w:val="0"/>
        <w:pageBreakBefore w:val="0"/>
        <w:widowControl w:val="0"/>
        <w:kinsoku/>
        <w:wordWrap/>
        <w:overflowPunct/>
        <w:topLinePunct w:val="0"/>
        <w:autoSpaceDE/>
        <w:autoSpaceDN/>
        <w:bidi w:val="0"/>
        <w:adjustRightInd w:val="0"/>
        <w:spacing w:line="570" w:lineRule="exact"/>
        <w:textAlignment w:val="auto"/>
        <w:rPr>
          <w:b w:val="0"/>
          <w:bCs/>
        </w:rPr>
      </w:pPr>
      <w:bookmarkStart w:id="15" w:name="_Toc42517935"/>
      <w:r>
        <w:rPr>
          <w:rFonts w:hint="eastAsia"/>
          <w:b w:val="0"/>
          <w:bCs/>
        </w:rPr>
        <w:t>（三）环境整治工作成效较显著，全部行政村已达到省定干净整洁村标准</w:t>
      </w:r>
      <w:bookmarkEnd w:id="15"/>
    </w:p>
    <w:p>
      <w:pPr>
        <w:keepNext w:val="0"/>
        <w:keepLines w:val="0"/>
        <w:pageBreakBefore w:val="0"/>
        <w:widowControl w:val="0"/>
        <w:kinsoku/>
        <w:wordWrap/>
        <w:overflowPunct/>
        <w:topLinePunct w:val="0"/>
        <w:autoSpaceDE/>
        <w:autoSpaceDN/>
        <w:bidi w:val="0"/>
        <w:adjustRightInd w:val="0"/>
        <w:spacing w:line="570" w:lineRule="exact"/>
        <w:ind w:firstLine="640"/>
        <w:textAlignment w:val="auto"/>
        <w:rPr>
          <w:b w:val="0"/>
          <w:bCs/>
        </w:rPr>
      </w:pPr>
      <w:r>
        <w:rPr>
          <w:rFonts w:hint="eastAsia"/>
          <w:b w:val="0"/>
          <w:bCs/>
        </w:rPr>
        <w:t>2019年，新雅街获评广州市市容环境卫生责任区制度示范街，并在当年全区街镇干净整洁平安有序城市环境工作中年度最终得分886分，排名第1。2019年底，新雅街11条行政村均达到省定干净整洁村标准，占比100%；其中邝家庄村、岑境村等9条行政村达到省定美丽宜居村标准，占比81.82%，一定程度说明新雅街的环境整治工作取得较显著成效。</w:t>
      </w:r>
    </w:p>
    <w:p>
      <w:pPr>
        <w:pStyle w:val="2"/>
        <w:keepNext w:val="0"/>
        <w:keepLines w:val="0"/>
        <w:pageBreakBefore w:val="0"/>
        <w:widowControl w:val="0"/>
        <w:kinsoku/>
        <w:wordWrap/>
        <w:overflowPunct/>
        <w:topLinePunct w:val="0"/>
        <w:autoSpaceDE/>
        <w:autoSpaceDN/>
        <w:bidi w:val="0"/>
        <w:adjustRightInd w:val="0"/>
        <w:spacing w:line="570" w:lineRule="exact"/>
        <w:ind w:firstLine="640"/>
        <w:textAlignment w:val="auto"/>
        <w:rPr>
          <w:b w:val="0"/>
          <w:bCs/>
        </w:rPr>
      </w:pPr>
      <w:bookmarkStart w:id="16" w:name="_Toc18998919"/>
      <w:bookmarkStart w:id="17" w:name="_Toc42517936"/>
      <w:r>
        <w:rPr>
          <w:b w:val="0"/>
          <w:bCs/>
        </w:rPr>
        <w:t>四、存在问题</w:t>
      </w:r>
      <w:bookmarkEnd w:id="13"/>
      <w:bookmarkEnd w:id="16"/>
      <w:bookmarkEnd w:id="17"/>
    </w:p>
    <w:p>
      <w:pPr>
        <w:pStyle w:val="3"/>
        <w:keepNext w:val="0"/>
        <w:keepLines w:val="0"/>
        <w:pageBreakBefore w:val="0"/>
        <w:widowControl w:val="0"/>
        <w:kinsoku/>
        <w:wordWrap/>
        <w:overflowPunct/>
        <w:topLinePunct w:val="0"/>
        <w:autoSpaceDE/>
        <w:autoSpaceDN/>
        <w:bidi w:val="0"/>
        <w:adjustRightInd w:val="0"/>
        <w:spacing w:line="570" w:lineRule="exact"/>
        <w:textAlignment w:val="auto"/>
        <w:rPr>
          <w:b w:val="0"/>
          <w:bCs/>
        </w:rPr>
      </w:pPr>
      <w:bookmarkStart w:id="18" w:name="_Toc42517937"/>
      <w:bookmarkStart w:id="19" w:name="_Toc18998920"/>
      <w:r>
        <w:rPr>
          <w:b w:val="0"/>
          <w:bCs/>
        </w:rPr>
        <w:t>（一）</w:t>
      </w:r>
      <w:r>
        <w:rPr>
          <w:rFonts w:hint="eastAsia"/>
          <w:b w:val="0"/>
          <w:bCs/>
        </w:rPr>
        <w:t>部分项目的绩效目标设置不够合理，目标值设定偏低、可行性论证不够</w:t>
      </w:r>
      <w:bookmarkEnd w:id="18"/>
    </w:p>
    <w:p>
      <w:pPr>
        <w:keepNext w:val="0"/>
        <w:keepLines w:val="0"/>
        <w:pageBreakBefore w:val="0"/>
        <w:widowControl w:val="0"/>
        <w:kinsoku/>
        <w:wordWrap/>
        <w:overflowPunct/>
        <w:topLinePunct w:val="0"/>
        <w:autoSpaceDE/>
        <w:autoSpaceDN/>
        <w:bidi w:val="0"/>
        <w:adjustRightInd w:val="0"/>
        <w:spacing w:line="570" w:lineRule="exact"/>
        <w:ind w:firstLine="643"/>
        <w:textAlignment w:val="auto"/>
        <w:rPr>
          <w:b w:val="0"/>
          <w:bCs/>
        </w:rPr>
      </w:pPr>
      <w:r>
        <w:rPr>
          <w:rFonts w:hint="eastAsia"/>
          <w:b w:val="0"/>
          <w:bCs/>
        </w:rPr>
        <w:t>一是部分绩效目标设置不够合理。例如，城管执法经费中，“开展市容专项整治行动”实际是日常巡查工作，并非专项行动，指标设置不够清晰。又如城乡社区管理事务支出项目绩效目标不够全面，城乡社区活动开展没有明确群众参与率。二是目标值设定偏低、可行性论证不够。例如，社会综合治理经费的个别指标目标值设定偏低，且对大型宣传活动的界定不清晰。</w:t>
      </w:r>
    </w:p>
    <w:p>
      <w:pPr>
        <w:pStyle w:val="3"/>
        <w:keepNext w:val="0"/>
        <w:keepLines w:val="0"/>
        <w:pageBreakBefore w:val="0"/>
        <w:widowControl w:val="0"/>
        <w:kinsoku/>
        <w:wordWrap/>
        <w:overflowPunct/>
        <w:topLinePunct w:val="0"/>
        <w:autoSpaceDE/>
        <w:autoSpaceDN/>
        <w:bidi w:val="0"/>
        <w:adjustRightInd w:val="0"/>
        <w:spacing w:line="570" w:lineRule="exact"/>
        <w:textAlignment w:val="auto"/>
        <w:rPr>
          <w:b w:val="0"/>
          <w:bCs/>
        </w:rPr>
      </w:pPr>
      <w:bookmarkStart w:id="20" w:name="_Toc42517938"/>
      <w:r>
        <w:rPr>
          <w:b w:val="0"/>
          <w:bCs/>
        </w:rPr>
        <w:t>（</w:t>
      </w:r>
      <w:r>
        <w:rPr>
          <w:rFonts w:hint="eastAsia"/>
          <w:b w:val="0"/>
          <w:bCs/>
        </w:rPr>
        <w:t>二</w:t>
      </w:r>
      <w:r>
        <w:rPr>
          <w:b w:val="0"/>
          <w:bCs/>
        </w:rPr>
        <w:t>）</w:t>
      </w:r>
      <w:bookmarkEnd w:id="19"/>
      <w:r>
        <w:rPr>
          <w:rFonts w:hint="eastAsia"/>
          <w:b w:val="0"/>
          <w:bCs/>
        </w:rPr>
        <w:t>部门整体支出与年初预算偏差较大，个别重点工作任务支出率偏低，整体预算调整率较高</w:t>
      </w:r>
      <w:bookmarkEnd w:id="20"/>
    </w:p>
    <w:p>
      <w:pPr>
        <w:keepNext w:val="0"/>
        <w:keepLines w:val="0"/>
        <w:pageBreakBefore w:val="0"/>
        <w:widowControl w:val="0"/>
        <w:kinsoku/>
        <w:wordWrap/>
        <w:overflowPunct/>
        <w:topLinePunct w:val="0"/>
        <w:autoSpaceDE/>
        <w:autoSpaceDN/>
        <w:bidi w:val="0"/>
        <w:adjustRightInd w:val="0"/>
        <w:spacing w:line="570" w:lineRule="exact"/>
        <w:ind w:firstLine="643"/>
        <w:textAlignment w:val="auto"/>
        <w:rPr>
          <w:b w:val="0"/>
          <w:bCs/>
        </w:rPr>
      </w:pPr>
      <w:r>
        <w:rPr>
          <w:rFonts w:hint="eastAsia"/>
          <w:b w:val="0"/>
          <w:bCs/>
        </w:rPr>
        <w:t>一是部门整体支出与年初预算偏差较大，偏离度达到45.82%，在一定程度上影响了预算执行情况。二是个别重点工作任务支出率偏低，4个项目的支出实现率均低于50%，主要</w:t>
      </w:r>
      <w:r>
        <w:rPr>
          <w:rFonts w:hint="eastAsia"/>
          <w:b w:val="0"/>
          <w:bCs/>
          <w:lang w:eastAsia="zh-CN"/>
        </w:rPr>
        <w:t>原</w:t>
      </w:r>
      <w:r>
        <w:rPr>
          <w:rFonts w:hint="eastAsia"/>
          <w:b w:val="0"/>
          <w:bCs/>
        </w:rPr>
        <w:t>因</w:t>
      </w:r>
      <w:r>
        <w:rPr>
          <w:rFonts w:hint="eastAsia"/>
          <w:b w:val="0"/>
          <w:bCs/>
          <w:lang w:eastAsia="zh-CN"/>
        </w:rPr>
        <w:t>是</w:t>
      </w:r>
      <w:r>
        <w:rPr>
          <w:rFonts w:hint="eastAsia"/>
          <w:b w:val="0"/>
          <w:bCs/>
        </w:rPr>
        <w:t>预算准确性不足、部分项目未按计划开展、上级资金未及时到位或有调整等。三是2019年度部门整体的预算调整率为51.54%，投资项目计划有调整，项目经费整体减少，致使项目未能如期开展实施，从而影响项目实施成效。</w:t>
      </w:r>
    </w:p>
    <w:p>
      <w:pPr>
        <w:pStyle w:val="3"/>
        <w:keepNext w:val="0"/>
        <w:keepLines w:val="0"/>
        <w:pageBreakBefore w:val="0"/>
        <w:widowControl w:val="0"/>
        <w:kinsoku/>
        <w:wordWrap/>
        <w:overflowPunct/>
        <w:topLinePunct w:val="0"/>
        <w:autoSpaceDE/>
        <w:autoSpaceDN/>
        <w:bidi w:val="0"/>
        <w:adjustRightInd w:val="0"/>
        <w:spacing w:line="570" w:lineRule="exact"/>
        <w:textAlignment w:val="auto"/>
        <w:rPr>
          <w:b w:val="0"/>
          <w:bCs/>
        </w:rPr>
      </w:pPr>
      <w:bookmarkStart w:id="21" w:name="_Toc42517939"/>
      <w:r>
        <w:rPr>
          <w:rFonts w:hint="eastAsia"/>
          <w:b w:val="0"/>
          <w:bCs/>
        </w:rPr>
        <w:t>（三）项目建设前期调研工作有待加强，实施过程管理不够规范，在一定程度上影响了项目实施质量和效果</w:t>
      </w:r>
      <w:bookmarkEnd w:id="21"/>
    </w:p>
    <w:p>
      <w:pPr>
        <w:keepNext w:val="0"/>
        <w:keepLines w:val="0"/>
        <w:pageBreakBefore w:val="0"/>
        <w:widowControl w:val="0"/>
        <w:kinsoku/>
        <w:wordWrap/>
        <w:overflowPunct/>
        <w:topLinePunct w:val="0"/>
        <w:autoSpaceDE/>
        <w:autoSpaceDN/>
        <w:bidi w:val="0"/>
        <w:adjustRightInd w:val="0"/>
        <w:spacing w:line="570" w:lineRule="exact"/>
        <w:ind w:firstLine="643"/>
        <w:textAlignment w:val="auto"/>
        <w:rPr>
          <w:b w:val="0"/>
          <w:bCs/>
        </w:rPr>
      </w:pPr>
      <w:r>
        <w:rPr>
          <w:rFonts w:hint="eastAsia"/>
          <w:b w:val="0"/>
          <w:bCs/>
        </w:rPr>
        <w:t>一是项目建设前期调研工作存在不足。例如2019年党群服务中心建设项目已经完工，实地勘察时有群众反映实践室配置的幼儿游玩区设置不太合理，未开展前期调研工作，不利于项目最大限度实现预期效果。二是个别项目设置不够合理，存在</w:t>
      </w:r>
      <w:r>
        <w:rPr>
          <w:b w:val="0"/>
          <w:bCs/>
        </w:rPr>
        <w:t>支出明细账</w:t>
      </w:r>
      <w:r>
        <w:rPr>
          <w:rFonts w:hint="eastAsia"/>
          <w:b w:val="0"/>
          <w:bCs/>
        </w:rPr>
        <w:t>使用名称不够规范、多个项目建设内容交叉等情况。三是项目过程管理不够规范，且实施监控有待进一步加强。例如，新雅街第一批污水管网完善工程28个工程项目，</w:t>
      </w:r>
      <w:r>
        <w:rPr>
          <w:b w:val="0"/>
          <w:bCs/>
        </w:rPr>
        <w:t>各项工程均单独外包委托开展</w:t>
      </w:r>
      <w:r>
        <w:rPr>
          <w:rFonts w:hint="eastAsia"/>
          <w:b w:val="0"/>
          <w:bCs/>
        </w:rPr>
        <w:t>，但28个工程项目属于同一类型工程，未以</w:t>
      </w:r>
      <w:r>
        <w:rPr>
          <w:b w:val="0"/>
          <w:bCs/>
        </w:rPr>
        <w:t>整体公开招标方式</w:t>
      </w:r>
      <w:r>
        <w:rPr>
          <w:rFonts w:hint="eastAsia"/>
          <w:b w:val="0"/>
          <w:bCs/>
        </w:rPr>
        <w:t>遴选施工单位，不太利于从整体上把控工程质量。另外，项目资金使用情况及绩效监控有待进一步加强。</w:t>
      </w:r>
    </w:p>
    <w:p>
      <w:pPr>
        <w:pStyle w:val="3"/>
        <w:keepNext w:val="0"/>
        <w:keepLines w:val="0"/>
        <w:pageBreakBefore w:val="0"/>
        <w:widowControl w:val="0"/>
        <w:kinsoku/>
        <w:wordWrap/>
        <w:overflowPunct/>
        <w:topLinePunct w:val="0"/>
        <w:autoSpaceDE/>
        <w:autoSpaceDN/>
        <w:bidi w:val="0"/>
        <w:adjustRightInd w:val="0"/>
        <w:spacing w:line="570" w:lineRule="exact"/>
        <w:textAlignment w:val="auto"/>
        <w:rPr>
          <w:b w:val="0"/>
          <w:bCs/>
        </w:rPr>
      </w:pPr>
      <w:bookmarkStart w:id="22" w:name="_Toc42517940"/>
      <w:r>
        <w:rPr>
          <w:rFonts w:hint="eastAsia"/>
          <w:b w:val="0"/>
          <w:bCs/>
        </w:rPr>
        <w:t>（四）部分项目未完成年初预期目标，项目建设进度和支出进度滞后，影响项目实施成效</w:t>
      </w:r>
      <w:bookmarkEnd w:id="22"/>
    </w:p>
    <w:p>
      <w:pPr>
        <w:keepNext w:val="0"/>
        <w:keepLines w:val="0"/>
        <w:pageBreakBefore w:val="0"/>
        <w:widowControl w:val="0"/>
        <w:kinsoku/>
        <w:wordWrap/>
        <w:overflowPunct/>
        <w:topLinePunct w:val="0"/>
        <w:autoSpaceDE/>
        <w:autoSpaceDN/>
        <w:bidi w:val="0"/>
        <w:adjustRightInd w:val="0"/>
        <w:spacing w:line="570" w:lineRule="exact"/>
        <w:ind w:firstLine="643"/>
        <w:textAlignment w:val="auto"/>
        <w:rPr>
          <w:b w:val="0"/>
          <w:bCs/>
        </w:rPr>
      </w:pPr>
      <w:r>
        <w:rPr>
          <w:rFonts w:hint="eastAsia"/>
          <w:b w:val="0"/>
          <w:bCs/>
        </w:rPr>
        <w:t>一是年度重点工作“城乡基础设施建设”年初预算1,960.08万元，实际支出843.77万元，实际支出率仅为43.05%。从支出率判断，重点工作完成情况不够理想。二是年度非重点工作中，部分任务未按计划完成。如东莞村、广塘村、石塘村城市更新改造、新雅街排涝站工程均正在建设中，工程进度不够理想等。</w:t>
      </w:r>
    </w:p>
    <w:p>
      <w:pPr>
        <w:pStyle w:val="3"/>
        <w:keepNext w:val="0"/>
        <w:keepLines w:val="0"/>
        <w:pageBreakBefore w:val="0"/>
        <w:widowControl w:val="0"/>
        <w:kinsoku/>
        <w:wordWrap/>
        <w:overflowPunct/>
        <w:topLinePunct w:val="0"/>
        <w:autoSpaceDE/>
        <w:autoSpaceDN/>
        <w:bidi w:val="0"/>
        <w:adjustRightInd w:val="0"/>
        <w:spacing w:line="570" w:lineRule="exact"/>
        <w:textAlignment w:val="auto"/>
        <w:rPr>
          <w:b w:val="0"/>
          <w:bCs/>
        </w:rPr>
      </w:pPr>
      <w:bookmarkStart w:id="23" w:name="_Toc42517941"/>
      <w:r>
        <w:rPr>
          <w:rFonts w:hint="eastAsia"/>
          <w:b w:val="0"/>
          <w:bCs/>
        </w:rPr>
        <w:t>（五）绩效自评材料存在不足，预算绩效管理意识待进一步提升</w:t>
      </w:r>
      <w:bookmarkEnd w:id="23"/>
    </w:p>
    <w:p>
      <w:pPr>
        <w:keepNext w:val="0"/>
        <w:keepLines w:val="0"/>
        <w:pageBreakBefore w:val="0"/>
        <w:widowControl w:val="0"/>
        <w:kinsoku/>
        <w:wordWrap/>
        <w:overflowPunct/>
        <w:topLinePunct w:val="0"/>
        <w:autoSpaceDE/>
        <w:autoSpaceDN/>
        <w:bidi w:val="0"/>
        <w:adjustRightInd w:val="0"/>
        <w:spacing w:line="570" w:lineRule="exact"/>
        <w:ind w:firstLine="643"/>
        <w:textAlignment w:val="auto"/>
        <w:rPr>
          <w:b w:val="0"/>
          <w:bCs/>
        </w:rPr>
      </w:pPr>
      <w:r>
        <w:rPr>
          <w:rFonts w:hint="eastAsia"/>
          <w:b w:val="0"/>
          <w:bCs/>
        </w:rPr>
        <w:t>一是自评材料数据存在不一致，有待进一步规范。例如，党群服务中心验收报告的验收时间与验收意见中标明的时间不一致。另外，自评材料不够详实，部分项目佐证材料不够充分，如“城乡基础设施建设”项目未能完整提供相关工程的佐证材料。二是</w:t>
      </w:r>
      <w:r>
        <w:rPr>
          <w:b w:val="0"/>
          <w:bCs/>
        </w:rPr>
        <w:t>针对本次</w:t>
      </w:r>
      <w:r>
        <w:rPr>
          <w:rFonts w:hint="eastAsia"/>
          <w:b w:val="0"/>
          <w:bCs/>
        </w:rPr>
        <w:t>部门整体支出全过程绩效管理工作</w:t>
      </w:r>
      <w:r>
        <w:rPr>
          <w:b w:val="0"/>
          <w:bCs/>
        </w:rPr>
        <w:t>，新雅街道办尚未针对性有效成立</w:t>
      </w:r>
      <w:r>
        <w:rPr>
          <w:rFonts w:hint="eastAsia"/>
          <w:b w:val="0"/>
          <w:bCs/>
        </w:rPr>
        <w:t>绩效评价</w:t>
      </w:r>
      <w:r>
        <w:rPr>
          <w:b w:val="0"/>
          <w:bCs/>
        </w:rPr>
        <w:t>工作小组，大部分绩效材料组织</w:t>
      </w:r>
      <w:r>
        <w:rPr>
          <w:rFonts w:hint="eastAsia"/>
          <w:b w:val="0"/>
          <w:bCs/>
        </w:rPr>
        <w:t>及</w:t>
      </w:r>
      <w:r>
        <w:rPr>
          <w:b w:val="0"/>
          <w:bCs/>
        </w:rPr>
        <w:t>填报工作由财务相关部门负责，各重大项目</w:t>
      </w:r>
      <w:r>
        <w:rPr>
          <w:rFonts w:hint="eastAsia"/>
          <w:b w:val="0"/>
          <w:bCs/>
        </w:rPr>
        <w:t>实施</w:t>
      </w:r>
      <w:r>
        <w:rPr>
          <w:b w:val="0"/>
          <w:bCs/>
        </w:rPr>
        <w:t>主体的职责分工并未明确落实，从而影响了</w:t>
      </w:r>
      <w:r>
        <w:rPr>
          <w:rFonts w:hint="eastAsia"/>
          <w:b w:val="0"/>
          <w:bCs/>
        </w:rPr>
        <w:t>自评</w:t>
      </w:r>
      <w:r>
        <w:rPr>
          <w:b w:val="0"/>
          <w:bCs/>
        </w:rPr>
        <w:t>工作的质量。</w:t>
      </w:r>
    </w:p>
    <w:p>
      <w:pPr>
        <w:pStyle w:val="2"/>
        <w:keepNext w:val="0"/>
        <w:keepLines w:val="0"/>
        <w:pageBreakBefore w:val="0"/>
        <w:widowControl w:val="0"/>
        <w:kinsoku/>
        <w:wordWrap/>
        <w:overflowPunct/>
        <w:topLinePunct w:val="0"/>
        <w:autoSpaceDE/>
        <w:autoSpaceDN/>
        <w:bidi w:val="0"/>
        <w:adjustRightInd w:val="0"/>
        <w:spacing w:line="570" w:lineRule="exact"/>
        <w:ind w:firstLine="640"/>
        <w:textAlignment w:val="auto"/>
        <w:rPr>
          <w:b w:val="0"/>
          <w:bCs/>
        </w:rPr>
      </w:pPr>
      <w:bookmarkStart w:id="24" w:name="_Toc14769816"/>
      <w:bookmarkStart w:id="25" w:name="_Toc42517942"/>
      <w:bookmarkStart w:id="26" w:name="_Toc18998923"/>
      <w:r>
        <w:rPr>
          <w:rFonts w:hint="eastAsia"/>
          <w:b w:val="0"/>
          <w:bCs/>
        </w:rPr>
        <w:t>五</w:t>
      </w:r>
      <w:r>
        <w:rPr>
          <w:b w:val="0"/>
          <w:bCs/>
        </w:rPr>
        <w:t>、改进建议</w:t>
      </w:r>
      <w:bookmarkEnd w:id="24"/>
      <w:bookmarkEnd w:id="25"/>
      <w:bookmarkEnd w:id="26"/>
    </w:p>
    <w:p>
      <w:pPr>
        <w:pStyle w:val="3"/>
        <w:keepNext w:val="0"/>
        <w:keepLines w:val="0"/>
        <w:pageBreakBefore w:val="0"/>
        <w:widowControl w:val="0"/>
        <w:kinsoku/>
        <w:wordWrap/>
        <w:overflowPunct/>
        <w:topLinePunct w:val="0"/>
        <w:autoSpaceDE/>
        <w:autoSpaceDN/>
        <w:bidi w:val="0"/>
        <w:adjustRightInd w:val="0"/>
        <w:spacing w:line="570" w:lineRule="exact"/>
        <w:textAlignment w:val="auto"/>
        <w:rPr>
          <w:b w:val="0"/>
          <w:bCs/>
        </w:rPr>
      </w:pPr>
      <w:bookmarkStart w:id="27" w:name="_Toc18998924"/>
      <w:bookmarkStart w:id="28" w:name="_Toc42517943"/>
      <w:r>
        <w:rPr>
          <w:b w:val="0"/>
          <w:bCs/>
        </w:rPr>
        <w:t>（一）</w:t>
      </w:r>
      <w:bookmarkEnd w:id="27"/>
      <w:r>
        <w:rPr>
          <w:rFonts w:hint="eastAsia"/>
          <w:b w:val="0"/>
          <w:bCs/>
        </w:rPr>
        <w:t>更为科学设置绩效目标，合理设定目标指标值，并提高其可行性论证</w:t>
      </w:r>
      <w:bookmarkEnd w:id="28"/>
    </w:p>
    <w:p>
      <w:pPr>
        <w:keepNext w:val="0"/>
        <w:keepLines w:val="0"/>
        <w:pageBreakBefore w:val="0"/>
        <w:widowControl w:val="0"/>
        <w:kinsoku/>
        <w:wordWrap/>
        <w:overflowPunct/>
        <w:topLinePunct w:val="0"/>
        <w:autoSpaceDE/>
        <w:autoSpaceDN/>
        <w:bidi w:val="0"/>
        <w:adjustRightInd w:val="0"/>
        <w:spacing w:line="570" w:lineRule="exact"/>
        <w:ind w:firstLine="643"/>
        <w:textAlignment w:val="auto"/>
        <w:rPr>
          <w:b w:val="0"/>
          <w:bCs/>
        </w:rPr>
      </w:pPr>
      <w:r>
        <w:rPr>
          <w:rFonts w:hint="eastAsia"/>
          <w:b w:val="0"/>
          <w:bCs/>
        </w:rPr>
        <w:t>一是设定指标或目标时，要考虑到数据的可获取性，并加强目标的可行性论证，设置更为贴合的绩效指标，从而更好反映项目实施成效。二是根据全年的工作计划和工作重点，设定合理的目标值。对于跨年度的项目，要设定阶段性目标值，同时在目标设置中，要尽量选择能反映项目建设质量的指标，避免避重就轻。</w:t>
      </w:r>
    </w:p>
    <w:p>
      <w:pPr>
        <w:pStyle w:val="3"/>
        <w:keepNext w:val="0"/>
        <w:keepLines w:val="0"/>
        <w:pageBreakBefore w:val="0"/>
        <w:widowControl w:val="0"/>
        <w:kinsoku/>
        <w:wordWrap/>
        <w:overflowPunct/>
        <w:topLinePunct w:val="0"/>
        <w:autoSpaceDE/>
        <w:autoSpaceDN/>
        <w:bidi w:val="0"/>
        <w:adjustRightInd w:val="0"/>
        <w:spacing w:line="570" w:lineRule="exact"/>
        <w:textAlignment w:val="auto"/>
        <w:rPr>
          <w:b w:val="0"/>
          <w:bCs/>
        </w:rPr>
      </w:pPr>
      <w:bookmarkStart w:id="29" w:name="_Toc18998925"/>
      <w:bookmarkStart w:id="30" w:name="_Toc42517944"/>
      <w:r>
        <w:rPr>
          <w:b w:val="0"/>
          <w:bCs/>
        </w:rPr>
        <w:t>（二）</w:t>
      </w:r>
      <w:bookmarkEnd w:id="29"/>
      <w:r>
        <w:rPr>
          <w:rFonts w:hint="eastAsia"/>
          <w:b w:val="0"/>
          <w:bCs/>
        </w:rPr>
        <w:t>加强</w:t>
      </w:r>
      <w:r>
        <w:rPr>
          <w:rFonts w:hint="eastAsia" w:ascii="楷体_GB2312" w:hAnsi="楷体_GB2312" w:eastAsia="楷体_GB2312" w:cs="楷体_GB2312"/>
          <w:b w:val="0"/>
          <w:bCs/>
        </w:rPr>
        <w:t>预算管理，</w:t>
      </w:r>
      <w:r>
        <w:rPr>
          <w:rFonts w:hint="eastAsia" w:ascii="楷体_GB2312" w:hAnsi="楷体_GB2312" w:eastAsia="楷体_GB2312" w:cs="楷体_GB2312"/>
          <w:b w:val="0"/>
          <w:bCs/>
          <w:szCs w:val="24"/>
        </w:rPr>
        <w:t>合理编制预算</w:t>
      </w:r>
      <w:r>
        <w:rPr>
          <w:rFonts w:hint="eastAsia" w:ascii="楷体_GB2312" w:hAnsi="楷体_GB2312" w:eastAsia="楷体_GB2312" w:cs="楷体_GB2312"/>
          <w:b w:val="0"/>
          <w:bCs/>
        </w:rPr>
        <w:t>，提高预</w:t>
      </w:r>
      <w:r>
        <w:rPr>
          <w:rFonts w:hint="eastAsia"/>
          <w:b w:val="0"/>
          <w:bCs/>
        </w:rPr>
        <w:t>算执行率</w:t>
      </w:r>
      <w:bookmarkEnd w:id="30"/>
    </w:p>
    <w:p>
      <w:pPr>
        <w:keepNext w:val="0"/>
        <w:keepLines w:val="0"/>
        <w:pageBreakBefore w:val="0"/>
        <w:widowControl w:val="0"/>
        <w:kinsoku/>
        <w:wordWrap/>
        <w:overflowPunct/>
        <w:topLinePunct w:val="0"/>
        <w:autoSpaceDE/>
        <w:autoSpaceDN/>
        <w:bidi w:val="0"/>
        <w:adjustRightInd w:val="0"/>
        <w:spacing w:line="570" w:lineRule="exact"/>
        <w:ind w:firstLine="643"/>
        <w:textAlignment w:val="auto"/>
        <w:rPr>
          <w:b w:val="0"/>
          <w:bCs/>
        </w:rPr>
      </w:pPr>
      <w:r>
        <w:rPr>
          <w:rFonts w:hint="eastAsia"/>
          <w:b w:val="0"/>
          <w:bCs/>
        </w:rPr>
        <w:t>一是建议加强预算管理，编制下一年的预算时建议参考往年的实际支出、人员变动情况等，并充分结合相关政策要求、工作任务等，合理测算项目经费，从而提高项目预算执行率，降低预算调整率。二是加强与上级部门和财政局的沟通和协调，尽量确保资金足额及时到位。同时，加强用一般公共预算资金垫支上级资金的可行性论证，确保垫支行为对原有的预算支出事项不受到影响。</w:t>
      </w:r>
    </w:p>
    <w:p>
      <w:pPr>
        <w:pStyle w:val="3"/>
        <w:keepNext w:val="0"/>
        <w:keepLines w:val="0"/>
        <w:pageBreakBefore w:val="0"/>
        <w:widowControl w:val="0"/>
        <w:kinsoku/>
        <w:wordWrap/>
        <w:overflowPunct/>
        <w:topLinePunct w:val="0"/>
        <w:autoSpaceDE/>
        <w:autoSpaceDN/>
        <w:bidi w:val="0"/>
        <w:adjustRightInd w:val="0"/>
        <w:spacing w:line="570" w:lineRule="exact"/>
        <w:textAlignment w:val="auto"/>
        <w:rPr>
          <w:b w:val="0"/>
          <w:bCs/>
        </w:rPr>
      </w:pPr>
      <w:bookmarkStart w:id="31" w:name="_Toc18998926"/>
      <w:bookmarkStart w:id="32" w:name="_Toc42517945"/>
      <w:r>
        <w:rPr>
          <w:b w:val="0"/>
          <w:bCs/>
        </w:rPr>
        <w:t>（三）</w:t>
      </w:r>
      <w:bookmarkEnd w:id="31"/>
      <w:r>
        <w:rPr>
          <w:rFonts w:hint="eastAsia"/>
          <w:b w:val="0"/>
          <w:bCs/>
        </w:rPr>
        <w:t>注重项目前期调研工作，</w:t>
      </w:r>
      <w:r>
        <w:rPr>
          <w:rFonts w:hint="eastAsia"/>
          <w:b w:val="0"/>
          <w:bCs/>
          <w:lang w:val="en-US" w:bidi="ar-SA"/>
        </w:rPr>
        <w:t>进一步规范项目实施过程，加强项目实施监管</w:t>
      </w:r>
      <w:bookmarkEnd w:id="32"/>
    </w:p>
    <w:p>
      <w:pPr>
        <w:keepNext w:val="0"/>
        <w:keepLines w:val="0"/>
        <w:pageBreakBefore w:val="0"/>
        <w:widowControl w:val="0"/>
        <w:kinsoku/>
        <w:wordWrap/>
        <w:overflowPunct/>
        <w:topLinePunct w:val="0"/>
        <w:autoSpaceDE/>
        <w:autoSpaceDN/>
        <w:bidi w:val="0"/>
        <w:adjustRightInd w:val="0"/>
        <w:spacing w:line="570" w:lineRule="exact"/>
        <w:ind w:firstLine="643"/>
        <w:textAlignment w:val="auto"/>
        <w:rPr>
          <w:b w:val="0"/>
          <w:bCs/>
        </w:rPr>
      </w:pPr>
      <w:r>
        <w:rPr>
          <w:rFonts w:hint="eastAsia"/>
          <w:b w:val="0"/>
          <w:bCs/>
        </w:rPr>
        <w:t>一是注重加强项目建设前期调研工作，并结合本地区群众的实际需求进行建设，尽量提高项目建设后的利用率。对于项目投入使用后，建议加强相关管理制度的建设和执行实施，以实现更为合理有效使用项目设施。二是进一步规范设置及管理执行项目，设置单独的明细账户反映项目资金收支情况，确保核算清晰，避免出现同一个事项多头预算导致预算虚高的情况。三是进一步规范项目实施过程，对于金额较大、同类性质、同批项目不宜拆分进行招投标，提高管理水平。同时，建议加强项目实施过程的监督和跟进，对于进度滞后或实施效果不理想的项目，需要认真查找原因，并及时进行整改，提高项目实施进度和成效。</w:t>
      </w:r>
    </w:p>
    <w:p>
      <w:pPr>
        <w:pStyle w:val="3"/>
        <w:keepNext w:val="0"/>
        <w:keepLines w:val="0"/>
        <w:pageBreakBefore w:val="0"/>
        <w:widowControl w:val="0"/>
        <w:kinsoku/>
        <w:wordWrap/>
        <w:overflowPunct/>
        <w:topLinePunct w:val="0"/>
        <w:autoSpaceDE/>
        <w:autoSpaceDN/>
        <w:bidi w:val="0"/>
        <w:adjustRightInd w:val="0"/>
        <w:spacing w:line="570" w:lineRule="exact"/>
        <w:textAlignment w:val="auto"/>
        <w:rPr>
          <w:b w:val="0"/>
          <w:bCs/>
        </w:rPr>
      </w:pPr>
      <w:bookmarkStart w:id="33" w:name="_Toc42517946"/>
      <w:r>
        <w:rPr>
          <w:rFonts w:hint="eastAsia"/>
          <w:b w:val="0"/>
          <w:bCs/>
        </w:rPr>
        <w:t>（四）</w:t>
      </w:r>
      <w:r>
        <w:rPr>
          <w:b w:val="0"/>
          <w:bCs/>
        </w:rPr>
        <w:t>加强项目库运行管理，制定</w:t>
      </w:r>
      <w:r>
        <w:rPr>
          <w:rFonts w:hint="eastAsia"/>
          <w:b w:val="0"/>
          <w:bCs/>
        </w:rPr>
        <w:t>及实施</w:t>
      </w:r>
      <w:r>
        <w:rPr>
          <w:b w:val="0"/>
          <w:bCs/>
        </w:rPr>
        <w:t>激励机制</w:t>
      </w:r>
      <w:r>
        <w:rPr>
          <w:rFonts w:hint="eastAsia"/>
          <w:b w:val="0"/>
          <w:bCs/>
        </w:rPr>
        <w:t>，</w:t>
      </w:r>
      <w:r>
        <w:rPr>
          <w:b w:val="0"/>
          <w:bCs/>
        </w:rPr>
        <w:t>提高资金使用效益</w:t>
      </w:r>
      <w:bookmarkEnd w:id="33"/>
    </w:p>
    <w:p>
      <w:pPr>
        <w:keepNext w:val="0"/>
        <w:keepLines w:val="0"/>
        <w:pageBreakBefore w:val="0"/>
        <w:widowControl w:val="0"/>
        <w:kinsoku/>
        <w:wordWrap/>
        <w:overflowPunct/>
        <w:topLinePunct w:val="0"/>
        <w:autoSpaceDE/>
        <w:autoSpaceDN/>
        <w:bidi w:val="0"/>
        <w:adjustRightInd w:val="0"/>
        <w:spacing w:line="570" w:lineRule="exact"/>
        <w:ind w:firstLine="643"/>
        <w:textAlignment w:val="auto"/>
        <w:rPr>
          <w:b w:val="0"/>
          <w:bCs/>
        </w:rPr>
      </w:pPr>
      <w:r>
        <w:rPr>
          <w:b w:val="0"/>
          <w:bCs/>
        </w:rPr>
        <w:t>一是</w:t>
      </w:r>
      <w:r>
        <w:rPr>
          <w:rFonts w:hint="eastAsia"/>
          <w:b w:val="0"/>
          <w:bCs/>
        </w:rPr>
        <w:t>建议逐渐</w:t>
      </w:r>
      <w:r>
        <w:rPr>
          <w:b w:val="0"/>
          <w:bCs/>
        </w:rPr>
        <w:t>建立以项目库为基础的预算立项程序。根据年度总体目标及财力资源确定该专项资金年度预算安排</w:t>
      </w:r>
      <w:r>
        <w:rPr>
          <w:rFonts w:hint="eastAsia"/>
          <w:b w:val="0"/>
          <w:bCs/>
        </w:rPr>
        <w:t>，</w:t>
      </w:r>
      <w:r>
        <w:rPr>
          <w:b w:val="0"/>
          <w:bCs/>
        </w:rPr>
        <w:t>优先安排往期已立项且当年预算仍需继续执行的项目，再根据年度重点工作、资金下达额度、项目轻重缓急进行项目排序，以切块金额为限确定项目</w:t>
      </w:r>
      <w:r>
        <w:rPr>
          <w:rFonts w:hint="eastAsia"/>
          <w:b w:val="0"/>
          <w:bCs/>
        </w:rPr>
        <w:t>，并</w:t>
      </w:r>
      <w:r>
        <w:rPr>
          <w:b w:val="0"/>
          <w:bCs/>
        </w:rPr>
        <w:t>将不能安排的项目进入备选库或下年度项目库，实现滚动项目库管理。二是加强预算执行信息的沟通与共享，在预算绩效管理过程中，如果预算执行中不理想或出现问题，可以快速反映给相关</w:t>
      </w:r>
      <w:r>
        <w:rPr>
          <w:rFonts w:hint="eastAsia"/>
          <w:b w:val="0"/>
          <w:bCs/>
        </w:rPr>
        <w:t>负责人，并</w:t>
      </w:r>
      <w:r>
        <w:rPr>
          <w:b w:val="0"/>
          <w:bCs/>
        </w:rPr>
        <w:t>及时做出调整及解决问题，提高预算执行力。三是</w:t>
      </w:r>
      <w:r>
        <w:rPr>
          <w:rFonts w:hint="eastAsia"/>
          <w:b w:val="0"/>
          <w:bCs/>
        </w:rPr>
        <w:t>建议</w:t>
      </w:r>
      <w:r>
        <w:rPr>
          <w:b w:val="0"/>
          <w:bCs/>
        </w:rPr>
        <w:t>制定激励机制，对于实施进度和资金支付进度较好、实施效益较明显的</w:t>
      </w:r>
      <w:r>
        <w:rPr>
          <w:rFonts w:hint="eastAsia"/>
          <w:b w:val="0"/>
          <w:bCs/>
        </w:rPr>
        <w:t>连续性项目，</w:t>
      </w:r>
      <w:r>
        <w:rPr>
          <w:b w:val="0"/>
          <w:bCs/>
        </w:rPr>
        <w:t>在下一年分配预算资金时建议</w:t>
      </w:r>
      <w:r>
        <w:rPr>
          <w:rFonts w:hint="eastAsia"/>
          <w:b w:val="0"/>
          <w:bCs/>
        </w:rPr>
        <w:t>优先安排</w:t>
      </w:r>
      <w:r>
        <w:rPr>
          <w:b w:val="0"/>
          <w:bCs/>
        </w:rPr>
        <w:t>。而针对连续两年资金结转结余率</w:t>
      </w:r>
      <w:r>
        <w:rPr>
          <w:rFonts w:hint="eastAsia"/>
          <w:b w:val="0"/>
          <w:bCs/>
        </w:rPr>
        <w:t>较大的项目</w:t>
      </w:r>
      <w:r>
        <w:rPr>
          <w:b w:val="0"/>
          <w:bCs/>
        </w:rPr>
        <w:t>，建议削减下年度预算金额作为必要约束。</w:t>
      </w:r>
    </w:p>
    <w:p>
      <w:pPr>
        <w:pStyle w:val="3"/>
        <w:keepNext w:val="0"/>
        <w:keepLines w:val="0"/>
        <w:pageBreakBefore w:val="0"/>
        <w:widowControl w:val="0"/>
        <w:kinsoku/>
        <w:wordWrap/>
        <w:overflowPunct/>
        <w:topLinePunct w:val="0"/>
        <w:autoSpaceDE/>
        <w:autoSpaceDN/>
        <w:bidi w:val="0"/>
        <w:adjustRightInd w:val="0"/>
        <w:spacing w:line="570" w:lineRule="exact"/>
        <w:textAlignment w:val="auto"/>
        <w:rPr>
          <w:b w:val="0"/>
          <w:bCs/>
        </w:rPr>
      </w:pPr>
      <w:bookmarkStart w:id="34" w:name="_Toc42517947"/>
      <w:r>
        <w:rPr>
          <w:rFonts w:hint="eastAsia"/>
          <w:b w:val="0"/>
          <w:bCs/>
        </w:rPr>
        <w:t>（五）</w:t>
      </w:r>
      <w:r>
        <w:rPr>
          <w:b w:val="0"/>
          <w:bCs/>
        </w:rPr>
        <w:t>强化绩效管理意识，有效组织成立绩效</w:t>
      </w:r>
      <w:r>
        <w:rPr>
          <w:rFonts w:hint="eastAsia"/>
          <w:b w:val="0"/>
          <w:bCs/>
        </w:rPr>
        <w:t>评价</w:t>
      </w:r>
      <w:r>
        <w:rPr>
          <w:b w:val="0"/>
          <w:bCs/>
        </w:rPr>
        <w:t>小组，落实职责分工，确保绩效</w:t>
      </w:r>
      <w:r>
        <w:rPr>
          <w:rFonts w:hint="eastAsia"/>
          <w:b w:val="0"/>
          <w:bCs/>
        </w:rPr>
        <w:t>评价</w:t>
      </w:r>
      <w:r>
        <w:rPr>
          <w:b w:val="0"/>
          <w:bCs/>
        </w:rPr>
        <w:t>工作按时按质完成</w:t>
      </w:r>
      <w:bookmarkEnd w:id="34"/>
    </w:p>
    <w:p>
      <w:pPr>
        <w:keepNext w:val="0"/>
        <w:keepLines w:val="0"/>
        <w:pageBreakBefore w:val="0"/>
        <w:widowControl w:val="0"/>
        <w:kinsoku/>
        <w:wordWrap/>
        <w:overflowPunct/>
        <w:topLinePunct w:val="0"/>
        <w:autoSpaceDE/>
        <w:autoSpaceDN/>
        <w:bidi w:val="0"/>
        <w:adjustRightInd w:val="0"/>
        <w:spacing w:line="570" w:lineRule="exact"/>
        <w:ind w:firstLine="643"/>
        <w:textAlignment w:val="auto"/>
        <w:rPr>
          <w:b w:val="0"/>
          <w:bCs/>
        </w:rPr>
      </w:pPr>
      <w:r>
        <w:rPr>
          <w:b w:val="0"/>
          <w:bCs/>
        </w:rPr>
        <w:t>一是建议新雅街道办进一步强化预算绩效管理意识，有效组织成立绩效</w:t>
      </w:r>
      <w:r>
        <w:rPr>
          <w:rFonts w:hint="eastAsia"/>
          <w:b w:val="0"/>
          <w:bCs/>
        </w:rPr>
        <w:t>评价</w:t>
      </w:r>
      <w:r>
        <w:rPr>
          <w:b w:val="0"/>
          <w:bCs/>
        </w:rPr>
        <w:t>工作小组。同</w:t>
      </w:r>
      <w:bookmarkStart w:id="35" w:name="_GoBack"/>
      <w:bookmarkEnd w:id="35"/>
      <w:r>
        <w:rPr>
          <w:b w:val="0"/>
          <w:bCs/>
        </w:rPr>
        <w:t>时，需明确</w:t>
      </w:r>
      <w:r>
        <w:rPr>
          <w:rFonts w:hint="eastAsia"/>
          <w:b w:val="0"/>
          <w:bCs/>
        </w:rPr>
        <w:t>评价</w:t>
      </w:r>
      <w:r>
        <w:rPr>
          <w:b w:val="0"/>
          <w:bCs/>
        </w:rPr>
        <w:t>小组成员职责分工，加强沟通协调，注重全面搜集反映部门工作或项目实施绩效的数据，确保按时按质完成绩效</w:t>
      </w:r>
      <w:r>
        <w:rPr>
          <w:rFonts w:hint="eastAsia"/>
          <w:b w:val="0"/>
          <w:bCs/>
        </w:rPr>
        <w:t>评价</w:t>
      </w:r>
      <w:r>
        <w:rPr>
          <w:b w:val="0"/>
          <w:bCs/>
        </w:rPr>
        <w:t>材料组织填报工作。二是加强绩效管理培训力度，将绩效理念和方法融入管理全过程，并建立健全预算绩效管理的操作规范和实施细则，将绩效管理责任意识层层分解和传导到各项目实施部门或单位。三是加强对</w:t>
      </w:r>
      <w:r>
        <w:rPr>
          <w:rFonts w:hint="eastAsia"/>
          <w:b w:val="0"/>
          <w:bCs/>
        </w:rPr>
        <w:t>部门整体支出全过程绩效管理中</w:t>
      </w:r>
      <w:r>
        <w:rPr>
          <w:b w:val="0"/>
          <w:bCs/>
        </w:rPr>
        <w:t>各项指标基础数据的审查核实，明确数据来源，避免数据交叉，保证数据准确，提升绩效</w:t>
      </w:r>
      <w:r>
        <w:rPr>
          <w:rFonts w:hint="eastAsia"/>
          <w:b w:val="0"/>
          <w:bCs/>
        </w:rPr>
        <w:t>评价</w:t>
      </w:r>
      <w:r>
        <w:rPr>
          <w:b w:val="0"/>
          <w:bCs/>
        </w:rPr>
        <w:t>工作佐证材料质量。</w:t>
      </w:r>
    </w:p>
    <w:sectPr>
      <w:headerReference r:id="rId5" w:type="default"/>
      <w:footerReference r:id="rId6" w:type="default"/>
      <w:pgSz w:w="11906" w:h="16838"/>
      <w:pgMar w:top="2098" w:right="1531" w:bottom="1985" w:left="1588" w:header="851" w:footer="992" w:gutter="0"/>
      <w:pgNumType w:start="1"/>
      <w:cols w:space="720" w:num="1"/>
      <w:docGrid w:type="linesAndChars" w:linePitch="435" w:charSpace="0"/>
    </w:sectPr>
  </w:body>
</w:document>
</file>

<file path=word/customizations.xml><?xml version="1.0" encoding="utf-8"?>
<wne:tcg xmlns:r="http://schemas.openxmlformats.org/officeDocument/2006/relationships" xmlns:wne="http://schemas.microsoft.com/office/word/2006/wordml">
  <wne:keymaps>
    <wne:keymap wne:kcmPrimary="0431">
      <wne:acd wne:acdName="acd0"/>
    </wne:keymap>
    <wne:keymap wne:kcmPrimary="0432">
      <wne:acd wne:acdName="acd1"/>
    </wne:keymap>
    <wne:keymap wne:kcmPrimary="0433">
      <wne:acd wne:acdName="acd2"/>
    </wne:keymap>
    <wne:keymap wne:kcmPrimary="0434">
      <wne:acd wne:acdName="acd3"/>
    </wne:keymap>
    <wne:keymap wne:kcmPrimary="045A">
      <wne:acd wne:acdName="acd4"/>
    </wne:keymap>
  </wne:keymaps>
  <wne:acds>
    <wne:acd wne:argValue="AQAAAAEA" wne:acdName="acd0" wne:fciIndexBasedOn="0065"/>
    <wne:acd wne:argValue="AQAAAAIA" wne:acdName="acd1" wne:fciIndexBasedOn="0065"/>
    <wne:acd wne:argValue="AQAAAAMA" wne:acdName="acd2" wne:fciIndexBasedOn="0065"/>
    <wne:acd wne:argValue="AQAAAAQA" wne:acdName="acd3" wne:fciIndexBasedOn="0065"/>
    <wne:acd wne:argValue="AQAAAAAA" wne:acdName="acd4"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等线">
    <w:altName w:val="Arial Unicode MS"/>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4"/>
        <w:szCs w:val="24"/>
      </w:rPr>
      <w:id w:val="1441569979"/>
      <w:docPartObj>
        <w:docPartGallery w:val="autotext"/>
      </w:docPartObj>
    </w:sdtPr>
    <w:sdtEndPr>
      <w:rPr>
        <w:rFonts w:ascii="Times New Roman" w:hAnsi="Times New Roman" w:cs="Times New Roman"/>
        <w:sz w:val="24"/>
        <w:szCs w:val="24"/>
      </w:rPr>
    </w:sdtEndPr>
    <w:sdtContent>
      <w:p>
        <w:pPr>
          <w:pStyle w:val="12"/>
          <w:ind w:firstLine="0" w:firstLineChars="0"/>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lang w:val="zh-CN"/>
          </w:rPr>
          <w:t>8</w:t>
        </w:r>
        <w:r>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64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mirrorMargins w:val="1"/>
  <w:bordersDoNotSurroundHeader w:val="1"/>
  <w:bordersDoNotSurroundFooter w:val="1"/>
  <w:documentProtection w:enforcement="0"/>
  <w:defaultTabStop w:val="419"/>
  <w:drawingGridHorizontalSpacing w:val="160"/>
  <w:drawingGridVerticalSpacing w:val="435"/>
  <w:displayHorizont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C7397"/>
    <w:rsid w:val="00001149"/>
    <w:rsid w:val="0000496A"/>
    <w:rsid w:val="00010AE2"/>
    <w:rsid w:val="00011635"/>
    <w:rsid w:val="00011E50"/>
    <w:rsid w:val="000140E1"/>
    <w:rsid w:val="000143FB"/>
    <w:rsid w:val="000151B2"/>
    <w:rsid w:val="00016D6C"/>
    <w:rsid w:val="000210DD"/>
    <w:rsid w:val="00027B60"/>
    <w:rsid w:val="00032808"/>
    <w:rsid w:val="00035396"/>
    <w:rsid w:val="0003625C"/>
    <w:rsid w:val="0003727A"/>
    <w:rsid w:val="0003788E"/>
    <w:rsid w:val="00051153"/>
    <w:rsid w:val="00053F6D"/>
    <w:rsid w:val="00055B7B"/>
    <w:rsid w:val="00057D80"/>
    <w:rsid w:val="00060553"/>
    <w:rsid w:val="000636BF"/>
    <w:rsid w:val="00064275"/>
    <w:rsid w:val="00067AAF"/>
    <w:rsid w:val="00070BDD"/>
    <w:rsid w:val="00073B79"/>
    <w:rsid w:val="000757C1"/>
    <w:rsid w:val="000825DA"/>
    <w:rsid w:val="000845C4"/>
    <w:rsid w:val="0008541C"/>
    <w:rsid w:val="0008617D"/>
    <w:rsid w:val="000879EF"/>
    <w:rsid w:val="000918C0"/>
    <w:rsid w:val="00096427"/>
    <w:rsid w:val="000A4D3A"/>
    <w:rsid w:val="000A5854"/>
    <w:rsid w:val="000B4F39"/>
    <w:rsid w:val="000B4F60"/>
    <w:rsid w:val="000B5774"/>
    <w:rsid w:val="000B75E7"/>
    <w:rsid w:val="000C55DD"/>
    <w:rsid w:val="000C7D72"/>
    <w:rsid w:val="000D0E8C"/>
    <w:rsid w:val="000D5B63"/>
    <w:rsid w:val="000D6A53"/>
    <w:rsid w:val="000E3812"/>
    <w:rsid w:val="000F0208"/>
    <w:rsid w:val="000F2188"/>
    <w:rsid w:val="001009DC"/>
    <w:rsid w:val="00105C46"/>
    <w:rsid w:val="001076EA"/>
    <w:rsid w:val="00113ADB"/>
    <w:rsid w:val="00122521"/>
    <w:rsid w:val="00124786"/>
    <w:rsid w:val="001255BC"/>
    <w:rsid w:val="00130C77"/>
    <w:rsid w:val="00130D2A"/>
    <w:rsid w:val="00135529"/>
    <w:rsid w:val="00146F8C"/>
    <w:rsid w:val="00147E87"/>
    <w:rsid w:val="001523DE"/>
    <w:rsid w:val="00162773"/>
    <w:rsid w:val="00172795"/>
    <w:rsid w:val="00174A25"/>
    <w:rsid w:val="00174FC6"/>
    <w:rsid w:val="00177D4D"/>
    <w:rsid w:val="00180B4A"/>
    <w:rsid w:val="00184B96"/>
    <w:rsid w:val="0018505D"/>
    <w:rsid w:val="001909D5"/>
    <w:rsid w:val="00191365"/>
    <w:rsid w:val="00193931"/>
    <w:rsid w:val="001957F0"/>
    <w:rsid w:val="00195F38"/>
    <w:rsid w:val="001A1D50"/>
    <w:rsid w:val="001A2D1D"/>
    <w:rsid w:val="001A4D3D"/>
    <w:rsid w:val="001A7883"/>
    <w:rsid w:val="001A7F04"/>
    <w:rsid w:val="001B384D"/>
    <w:rsid w:val="001B6B9C"/>
    <w:rsid w:val="001C004D"/>
    <w:rsid w:val="001C5C22"/>
    <w:rsid w:val="001E0B65"/>
    <w:rsid w:val="001E1BC7"/>
    <w:rsid w:val="001F1C08"/>
    <w:rsid w:val="001F3166"/>
    <w:rsid w:val="001F647A"/>
    <w:rsid w:val="002034E1"/>
    <w:rsid w:val="00213ECC"/>
    <w:rsid w:val="002157A3"/>
    <w:rsid w:val="0022330D"/>
    <w:rsid w:val="00231FF0"/>
    <w:rsid w:val="00234F1E"/>
    <w:rsid w:val="00235A4E"/>
    <w:rsid w:val="00241E7E"/>
    <w:rsid w:val="00245FC4"/>
    <w:rsid w:val="00247FA6"/>
    <w:rsid w:val="00250E60"/>
    <w:rsid w:val="00251D62"/>
    <w:rsid w:val="002527C6"/>
    <w:rsid w:val="00253C09"/>
    <w:rsid w:val="0025659E"/>
    <w:rsid w:val="00263003"/>
    <w:rsid w:val="00270F74"/>
    <w:rsid w:val="00274883"/>
    <w:rsid w:val="00275B43"/>
    <w:rsid w:val="00276E5C"/>
    <w:rsid w:val="00277498"/>
    <w:rsid w:val="002802F1"/>
    <w:rsid w:val="00284AD5"/>
    <w:rsid w:val="002932CC"/>
    <w:rsid w:val="00297ADC"/>
    <w:rsid w:val="002A1E0A"/>
    <w:rsid w:val="002A4E52"/>
    <w:rsid w:val="002A5402"/>
    <w:rsid w:val="002A5600"/>
    <w:rsid w:val="002B1E15"/>
    <w:rsid w:val="002B2535"/>
    <w:rsid w:val="002B348F"/>
    <w:rsid w:val="002B5A95"/>
    <w:rsid w:val="002B5F8B"/>
    <w:rsid w:val="002C26FB"/>
    <w:rsid w:val="002C4FC0"/>
    <w:rsid w:val="002D1E91"/>
    <w:rsid w:val="002D2E18"/>
    <w:rsid w:val="002D36DB"/>
    <w:rsid w:val="002D4AD7"/>
    <w:rsid w:val="002D5928"/>
    <w:rsid w:val="002D73BB"/>
    <w:rsid w:val="002E01B0"/>
    <w:rsid w:val="002E1F39"/>
    <w:rsid w:val="002E3408"/>
    <w:rsid w:val="002F275D"/>
    <w:rsid w:val="002F430D"/>
    <w:rsid w:val="002F5913"/>
    <w:rsid w:val="002F5D32"/>
    <w:rsid w:val="00302080"/>
    <w:rsid w:val="003039FC"/>
    <w:rsid w:val="00304CE7"/>
    <w:rsid w:val="00311E3A"/>
    <w:rsid w:val="0031258C"/>
    <w:rsid w:val="003171EA"/>
    <w:rsid w:val="00322089"/>
    <w:rsid w:val="00335136"/>
    <w:rsid w:val="00335901"/>
    <w:rsid w:val="00342C2D"/>
    <w:rsid w:val="003462A0"/>
    <w:rsid w:val="003462D9"/>
    <w:rsid w:val="00353939"/>
    <w:rsid w:val="0035482A"/>
    <w:rsid w:val="00354DD7"/>
    <w:rsid w:val="00355AB4"/>
    <w:rsid w:val="003566F5"/>
    <w:rsid w:val="00364459"/>
    <w:rsid w:val="00364605"/>
    <w:rsid w:val="00365459"/>
    <w:rsid w:val="003655F6"/>
    <w:rsid w:val="00365730"/>
    <w:rsid w:val="00370394"/>
    <w:rsid w:val="003715E1"/>
    <w:rsid w:val="00371D14"/>
    <w:rsid w:val="003720BF"/>
    <w:rsid w:val="003736A9"/>
    <w:rsid w:val="00374DA1"/>
    <w:rsid w:val="0037695B"/>
    <w:rsid w:val="00383FC7"/>
    <w:rsid w:val="003918D0"/>
    <w:rsid w:val="0039202D"/>
    <w:rsid w:val="0039270C"/>
    <w:rsid w:val="00394495"/>
    <w:rsid w:val="003A2B2E"/>
    <w:rsid w:val="003A3632"/>
    <w:rsid w:val="003A4AF0"/>
    <w:rsid w:val="003B0CC2"/>
    <w:rsid w:val="003C0280"/>
    <w:rsid w:val="003C1D43"/>
    <w:rsid w:val="003C1D60"/>
    <w:rsid w:val="003C38B8"/>
    <w:rsid w:val="003D26BE"/>
    <w:rsid w:val="003D5837"/>
    <w:rsid w:val="003E598D"/>
    <w:rsid w:val="003E76E4"/>
    <w:rsid w:val="003F12C1"/>
    <w:rsid w:val="003F1C5B"/>
    <w:rsid w:val="003F5101"/>
    <w:rsid w:val="00401AD1"/>
    <w:rsid w:val="0040292D"/>
    <w:rsid w:val="004032CA"/>
    <w:rsid w:val="00405C94"/>
    <w:rsid w:val="0041039D"/>
    <w:rsid w:val="0041214F"/>
    <w:rsid w:val="004161FF"/>
    <w:rsid w:val="00424F6D"/>
    <w:rsid w:val="0043103D"/>
    <w:rsid w:val="004365D4"/>
    <w:rsid w:val="00443B82"/>
    <w:rsid w:val="00444185"/>
    <w:rsid w:val="00447F36"/>
    <w:rsid w:val="00447FC4"/>
    <w:rsid w:val="00450A1B"/>
    <w:rsid w:val="00450B86"/>
    <w:rsid w:val="0045232D"/>
    <w:rsid w:val="00454192"/>
    <w:rsid w:val="00454D66"/>
    <w:rsid w:val="004554E3"/>
    <w:rsid w:val="004556CF"/>
    <w:rsid w:val="004602FD"/>
    <w:rsid w:val="00461A85"/>
    <w:rsid w:val="0046311D"/>
    <w:rsid w:val="004652CD"/>
    <w:rsid w:val="00467CB7"/>
    <w:rsid w:val="00472CEB"/>
    <w:rsid w:val="004749B6"/>
    <w:rsid w:val="00475518"/>
    <w:rsid w:val="0049131A"/>
    <w:rsid w:val="00496AB8"/>
    <w:rsid w:val="00497445"/>
    <w:rsid w:val="00497AE1"/>
    <w:rsid w:val="004A0412"/>
    <w:rsid w:val="004A2A27"/>
    <w:rsid w:val="004A3590"/>
    <w:rsid w:val="004A628F"/>
    <w:rsid w:val="004B01B5"/>
    <w:rsid w:val="004B7FCF"/>
    <w:rsid w:val="004C0F8E"/>
    <w:rsid w:val="004C29E0"/>
    <w:rsid w:val="004C42DE"/>
    <w:rsid w:val="004C6307"/>
    <w:rsid w:val="004D0233"/>
    <w:rsid w:val="004D04FE"/>
    <w:rsid w:val="004D153F"/>
    <w:rsid w:val="004D5FEF"/>
    <w:rsid w:val="004E5282"/>
    <w:rsid w:val="004F0B21"/>
    <w:rsid w:val="004F2905"/>
    <w:rsid w:val="004F4C07"/>
    <w:rsid w:val="004F576E"/>
    <w:rsid w:val="004F5ACA"/>
    <w:rsid w:val="004F5EB4"/>
    <w:rsid w:val="00500FCE"/>
    <w:rsid w:val="00501015"/>
    <w:rsid w:val="00510DAA"/>
    <w:rsid w:val="00511C09"/>
    <w:rsid w:val="00514559"/>
    <w:rsid w:val="0051492E"/>
    <w:rsid w:val="00515045"/>
    <w:rsid w:val="00515BF7"/>
    <w:rsid w:val="005170F5"/>
    <w:rsid w:val="00517B4B"/>
    <w:rsid w:val="005248A1"/>
    <w:rsid w:val="00535A54"/>
    <w:rsid w:val="005457F9"/>
    <w:rsid w:val="00547912"/>
    <w:rsid w:val="005533BC"/>
    <w:rsid w:val="00556F40"/>
    <w:rsid w:val="00557063"/>
    <w:rsid w:val="00557B55"/>
    <w:rsid w:val="00561357"/>
    <w:rsid w:val="0056460E"/>
    <w:rsid w:val="005716B0"/>
    <w:rsid w:val="005737DC"/>
    <w:rsid w:val="0057724D"/>
    <w:rsid w:val="00577469"/>
    <w:rsid w:val="00582656"/>
    <w:rsid w:val="00583821"/>
    <w:rsid w:val="00584501"/>
    <w:rsid w:val="00584FA6"/>
    <w:rsid w:val="00586E6B"/>
    <w:rsid w:val="0059122E"/>
    <w:rsid w:val="00592508"/>
    <w:rsid w:val="005A5431"/>
    <w:rsid w:val="005A775E"/>
    <w:rsid w:val="005B135B"/>
    <w:rsid w:val="005B2087"/>
    <w:rsid w:val="005B2801"/>
    <w:rsid w:val="005B3586"/>
    <w:rsid w:val="005B4049"/>
    <w:rsid w:val="005B430A"/>
    <w:rsid w:val="005B7DB0"/>
    <w:rsid w:val="005C4046"/>
    <w:rsid w:val="005C45F8"/>
    <w:rsid w:val="005C5B73"/>
    <w:rsid w:val="005C5BB8"/>
    <w:rsid w:val="005C744A"/>
    <w:rsid w:val="005D2C04"/>
    <w:rsid w:val="005D320A"/>
    <w:rsid w:val="005D3B0E"/>
    <w:rsid w:val="005D769C"/>
    <w:rsid w:val="005E3CA5"/>
    <w:rsid w:val="005E417A"/>
    <w:rsid w:val="005E546D"/>
    <w:rsid w:val="005E6880"/>
    <w:rsid w:val="005F1B14"/>
    <w:rsid w:val="005F3208"/>
    <w:rsid w:val="005F66AC"/>
    <w:rsid w:val="005F7601"/>
    <w:rsid w:val="006007EB"/>
    <w:rsid w:val="00603071"/>
    <w:rsid w:val="006166AA"/>
    <w:rsid w:val="006178EB"/>
    <w:rsid w:val="00622FF0"/>
    <w:rsid w:val="00626092"/>
    <w:rsid w:val="006317A6"/>
    <w:rsid w:val="006343FE"/>
    <w:rsid w:val="00635426"/>
    <w:rsid w:val="0063594A"/>
    <w:rsid w:val="006368C0"/>
    <w:rsid w:val="00637EF8"/>
    <w:rsid w:val="00640575"/>
    <w:rsid w:val="0064257D"/>
    <w:rsid w:val="00642F10"/>
    <w:rsid w:val="00645943"/>
    <w:rsid w:val="00645ACC"/>
    <w:rsid w:val="00651837"/>
    <w:rsid w:val="00656F8D"/>
    <w:rsid w:val="00657668"/>
    <w:rsid w:val="00660E0A"/>
    <w:rsid w:val="006616D5"/>
    <w:rsid w:val="00662189"/>
    <w:rsid w:val="00662AC1"/>
    <w:rsid w:val="00664614"/>
    <w:rsid w:val="00667C4E"/>
    <w:rsid w:val="00667FA5"/>
    <w:rsid w:val="006758A8"/>
    <w:rsid w:val="00675B5A"/>
    <w:rsid w:val="00680ABC"/>
    <w:rsid w:val="00682DB6"/>
    <w:rsid w:val="006841EB"/>
    <w:rsid w:val="00685670"/>
    <w:rsid w:val="00690F67"/>
    <w:rsid w:val="00696EB2"/>
    <w:rsid w:val="006979D8"/>
    <w:rsid w:val="006A0704"/>
    <w:rsid w:val="006A4827"/>
    <w:rsid w:val="006B00F6"/>
    <w:rsid w:val="006B1286"/>
    <w:rsid w:val="006B23C8"/>
    <w:rsid w:val="006B2578"/>
    <w:rsid w:val="006B32BB"/>
    <w:rsid w:val="006B47BF"/>
    <w:rsid w:val="006D06A8"/>
    <w:rsid w:val="006D41B8"/>
    <w:rsid w:val="006D4D55"/>
    <w:rsid w:val="006E014A"/>
    <w:rsid w:val="006E24B3"/>
    <w:rsid w:val="006E5FF0"/>
    <w:rsid w:val="006F1C73"/>
    <w:rsid w:val="006F21DA"/>
    <w:rsid w:val="006F2B78"/>
    <w:rsid w:val="006F4C70"/>
    <w:rsid w:val="00703F20"/>
    <w:rsid w:val="0070793D"/>
    <w:rsid w:val="0071185C"/>
    <w:rsid w:val="0071314B"/>
    <w:rsid w:val="00721F3A"/>
    <w:rsid w:val="00742CFB"/>
    <w:rsid w:val="00743300"/>
    <w:rsid w:val="00745320"/>
    <w:rsid w:val="00746EDD"/>
    <w:rsid w:val="007536A9"/>
    <w:rsid w:val="007569DE"/>
    <w:rsid w:val="00757EEA"/>
    <w:rsid w:val="0076133A"/>
    <w:rsid w:val="00762AF0"/>
    <w:rsid w:val="00763E52"/>
    <w:rsid w:val="007735C2"/>
    <w:rsid w:val="00775D0A"/>
    <w:rsid w:val="00775D4F"/>
    <w:rsid w:val="00776E94"/>
    <w:rsid w:val="00783E26"/>
    <w:rsid w:val="0078729B"/>
    <w:rsid w:val="0079490C"/>
    <w:rsid w:val="00795242"/>
    <w:rsid w:val="007969E8"/>
    <w:rsid w:val="007A1F50"/>
    <w:rsid w:val="007A6139"/>
    <w:rsid w:val="007B23B5"/>
    <w:rsid w:val="007B2B76"/>
    <w:rsid w:val="007B5A17"/>
    <w:rsid w:val="007C1638"/>
    <w:rsid w:val="007C6D22"/>
    <w:rsid w:val="007D0EE1"/>
    <w:rsid w:val="007D29AA"/>
    <w:rsid w:val="007E3FC1"/>
    <w:rsid w:val="007F1C8C"/>
    <w:rsid w:val="007F4AAF"/>
    <w:rsid w:val="00800D53"/>
    <w:rsid w:val="00801434"/>
    <w:rsid w:val="008030E9"/>
    <w:rsid w:val="00803669"/>
    <w:rsid w:val="00807A9C"/>
    <w:rsid w:val="0081189D"/>
    <w:rsid w:val="008134F3"/>
    <w:rsid w:val="00813890"/>
    <w:rsid w:val="0081469F"/>
    <w:rsid w:val="00817869"/>
    <w:rsid w:val="00821061"/>
    <w:rsid w:val="00830475"/>
    <w:rsid w:val="008359AC"/>
    <w:rsid w:val="008375DB"/>
    <w:rsid w:val="0083794B"/>
    <w:rsid w:val="00841BAA"/>
    <w:rsid w:val="00842CD8"/>
    <w:rsid w:val="00843EB4"/>
    <w:rsid w:val="0084564D"/>
    <w:rsid w:val="00853582"/>
    <w:rsid w:val="0085664D"/>
    <w:rsid w:val="00857298"/>
    <w:rsid w:val="00857A4C"/>
    <w:rsid w:val="00857DD6"/>
    <w:rsid w:val="00860513"/>
    <w:rsid w:val="0086467B"/>
    <w:rsid w:val="008651EC"/>
    <w:rsid w:val="00866A14"/>
    <w:rsid w:val="00871DA8"/>
    <w:rsid w:val="008738C1"/>
    <w:rsid w:val="0087444B"/>
    <w:rsid w:val="0087672A"/>
    <w:rsid w:val="008809A9"/>
    <w:rsid w:val="0088277F"/>
    <w:rsid w:val="008830B7"/>
    <w:rsid w:val="00883834"/>
    <w:rsid w:val="00890DD3"/>
    <w:rsid w:val="008929E9"/>
    <w:rsid w:val="008970FD"/>
    <w:rsid w:val="00897CAC"/>
    <w:rsid w:val="008A01D9"/>
    <w:rsid w:val="008A3974"/>
    <w:rsid w:val="008A5FA1"/>
    <w:rsid w:val="008C1BAA"/>
    <w:rsid w:val="008C23DE"/>
    <w:rsid w:val="008D0FC8"/>
    <w:rsid w:val="008D16F8"/>
    <w:rsid w:val="008E46CA"/>
    <w:rsid w:val="008E5F03"/>
    <w:rsid w:val="008F0CF3"/>
    <w:rsid w:val="008F2D61"/>
    <w:rsid w:val="008F3592"/>
    <w:rsid w:val="008F5A50"/>
    <w:rsid w:val="008F6D7F"/>
    <w:rsid w:val="008F7B8C"/>
    <w:rsid w:val="008F7DAE"/>
    <w:rsid w:val="00901D27"/>
    <w:rsid w:val="00902F41"/>
    <w:rsid w:val="00904782"/>
    <w:rsid w:val="0090742D"/>
    <w:rsid w:val="00910FED"/>
    <w:rsid w:val="00913DDF"/>
    <w:rsid w:val="00915438"/>
    <w:rsid w:val="00915D5B"/>
    <w:rsid w:val="00915DFC"/>
    <w:rsid w:val="009211BF"/>
    <w:rsid w:val="0092258B"/>
    <w:rsid w:val="009249AE"/>
    <w:rsid w:val="00930864"/>
    <w:rsid w:val="00931393"/>
    <w:rsid w:val="00931F9D"/>
    <w:rsid w:val="00933033"/>
    <w:rsid w:val="00933735"/>
    <w:rsid w:val="0093536F"/>
    <w:rsid w:val="0093583D"/>
    <w:rsid w:val="009369B5"/>
    <w:rsid w:val="00940286"/>
    <w:rsid w:val="00940611"/>
    <w:rsid w:val="0094156E"/>
    <w:rsid w:val="00950433"/>
    <w:rsid w:val="00953B56"/>
    <w:rsid w:val="0095559C"/>
    <w:rsid w:val="00964B2B"/>
    <w:rsid w:val="0096633D"/>
    <w:rsid w:val="009670CE"/>
    <w:rsid w:val="009719F8"/>
    <w:rsid w:val="00973C74"/>
    <w:rsid w:val="009745E3"/>
    <w:rsid w:val="00977175"/>
    <w:rsid w:val="00982468"/>
    <w:rsid w:val="00990AD9"/>
    <w:rsid w:val="00991C99"/>
    <w:rsid w:val="009925BB"/>
    <w:rsid w:val="00992AF9"/>
    <w:rsid w:val="009A3992"/>
    <w:rsid w:val="009A7388"/>
    <w:rsid w:val="009B3A8D"/>
    <w:rsid w:val="009B64C7"/>
    <w:rsid w:val="009C3A3E"/>
    <w:rsid w:val="009C48F7"/>
    <w:rsid w:val="009C7397"/>
    <w:rsid w:val="009D36F8"/>
    <w:rsid w:val="009D6F23"/>
    <w:rsid w:val="009D7444"/>
    <w:rsid w:val="009E4713"/>
    <w:rsid w:val="009E4834"/>
    <w:rsid w:val="009E4EB1"/>
    <w:rsid w:val="009E7598"/>
    <w:rsid w:val="009F20A7"/>
    <w:rsid w:val="009F574C"/>
    <w:rsid w:val="009F6683"/>
    <w:rsid w:val="00A010C0"/>
    <w:rsid w:val="00A025F5"/>
    <w:rsid w:val="00A04217"/>
    <w:rsid w:val="00A11098"/>
    <w:rsid w:val="00A16FA2"/>
    <w:rsid w:val="00A17E1A"/>
    <w:rsid w:val="00A20C17"/>
    <w:rsid w:val="00A212DE"/>
    <w:rsid w:val="00A2226B"/>
    <w:rsid w:val="00A24A3F"/>
    <w:rsid w:val="00A2766A"/>
    <w:rsid w:val="00A305AA"/>
    <w:rsid w:val="00A317B4"/>
    <w:rsid w:val="00A32612"/>
    <w:rsid w:val="00A32956"/>
    <w:rsid w:val="00A33A61"/>
    <w:rsid w:val="00A42FBF"/>
    <w:rsid w:val="00A43F5B"/>
    <w:rsid w:val="00A44FD4"/>
    <w:rsid w:val="00A502F4"/>
    <w:rsid w:val="00A51C2F"/>
    <w:rsid w:val="00A5329D"/>
    <w:rsid w:val="00A5555F"/>
    <w:rsid w:val="00A5710A"/>
    <w:rsid w:val="00A62313"/>
    <w:rsid w:val="00A628FD"/>
    <w:rsid w:val="00A64D2B"/>
    <w:rsid w:val="00A65B54"/>
    <w:rsid w:val="00A676C1"/>
    <w:rsid w:val="00A70292"/>
    <w:rsid w:val="00A7061A"/>
    <w:rsid w:val="00A70E7B"/>
    <w:rsid w:val="00A727A3"/>
    <w:rsid w:val="00A74AB6"/>
    <w:rsid w:val="00A80DA8"/>
    <w:rsid w:val="00A8196A"/>
    <w:rsid w:val="00A86616"/>
    <w:rsid w:val="00A9074E"/>
    <w:rsid w:val="00A91351"/>
    <w:rsid w:val="00A95C45"/>
    <w:rsid w:val="00AA0AFE"/>
    <w:rsid w:val="00AA31B5"/>
    <w:rsid w:val="00AA4C78"/>
    <w:rsid w:val="00AA4ED9"/>
    <w:rsid w:val="00AA6103"/>
    <w:rsid w:val="00AB0F29"/>
    <w:rsid w:val="00AB1428"/>
    <w:rsid w:val="00AB3E5D"/>
    <w:rsid w:val="00AB45D6"/>
    <w:rsid w:val="00AB4900"/>
    <w:rsid w:val="00AB4D90"/>
    <w:rsid w:val="00AC15AD"/>
    <w:rsid w:val="00AD1EC2"/>
    <w:rsid w:val="00AD29E6"/>
    <w:rsid w:val="00AE07C6"/>
    <w:rsid w:val="00AE55B9"/>
    <w:rsid w:val="00AF06D7"/>
    <w:rsid w:val="00AF18B3"/>
    <w:rsid w:val="00AF69AD"/>
    <w:rsid w:val="00AF71CC"/>
    <w:rsid w:val="00B01F0E"/>
    <w:rsid w:val="00B02C49"/>
    <w:rsid w:val="00B21A67"/>
    <w:rsid w:val="00B241C0"/>
    <w:rsid w:val="00B35110"/>
    <w:rsid w:val="00B354D8"/>
    <w:rsid w:val="00B35D10"/>
    <w:rsid w:val="00B3665B"/>
    <w:rsid w:val="00B40A21"/>
    <w:rsid w:val="00B411C9"/>
    <w:rsid w:val="00B432AA"/>
    <w:rsid w:val="00B433BC"/>
    <w:rsid w:val="00B43AE1"/>
    <w:rsid w:val="00B464C7"/>
    <w:rsid w:val="00B46713"/>
    <w:rsid w:val="00B4738C"/>
    <w:rsid w:val="00B511CF"/>
    <w:rsid w:val="00B51422"/>
    <w:rsid w:val="00B5150A"/>
    <w:rsid w:val="00B53932"/>
    <w:rsid w:val="00B61103"/>
    <w:rsid w:val="00B61C93"/>
    <w:rsid w:val="00B61D85"/>
    <w:rsid w:val="00B62725"/>
    <w:rsid w:val="00B62D5D"/>
    <w:rsid w:val="00B6372E"/>
    <w:rsid w:val="00B657BA"/>
    <w:rsid w:val="00B7026E"/>
    <w:rsid w:val="00B736CC"/>
    <w:rsid w:val="00B75AC4"/>
    <w:rsid w:val="00B80D98"/>
    <w:rsid w:val="00B83A1C"/>
    <w:rsid w:val="00B85C37"/>
    <w:rsid w:val="00B97B97"/>
    <w:rsid w:val="00BA203F"/>
    <w:rsid w:val="00BA25A1"/>
    <w:rsid w:val="00BB0199"/>
    <w:rsid w:val="00BB1CCC"/>
    <w:rsid w:val="00BB221A"/>
    <w:rsid w:val="00BB3D3D"/>
    <w:rsid w:val="00BB44CD"/>
    <w:rsid w:val="00BB54F4"/>
    <w:rsid w:val="00BB6712"/>
    <w:rsid w:val="00BC04DD"/>
    <w:rsid w:val="00BC22ED"/>
    <w:rsid w:val="00BD2FA2"/>
    <w:rsid w:val="00BD5652"/>
    <w:rsid w:val="00BE782A"/>
    <w:rsid w:val="00BF2754"/>
    <w:rsid w:val="00BF3C5A"/>
    <w:rsid w:val="00BF4676"/>
    <w:rsid w:val="00BF5BB8"/>
    <w:rsid w:val="00BF6BA2"/>
    <w:rsid w:val="00C07E47"/>
    <w:rsid w:val="00C1008A"/>
    <w:rsid w:val="00C11655"/>
    <w:rsid w:val="00C231E1"/>
    <w:rsid w:val="00C274B2"/>
    <w:rsid w:val="00C27B4B"/>
    <w:rsid w:val="00C27E0E"/>
    <w:rsid w:val="00C31F1E"/>
    <w:rsid w:val="00C34736"/>
    <w:rsid w:val="00C40B80"/>
    <w:rsid w:val="00C44257"/>
    <w:rsid w:val="00C5292A"/>
    <w:rsid w:val="00C5574B"/>
    <w:rsid w:val="00C6024F"/>
    <w:rsid w:val="00C61843"/>
    <w:rsid w:val="00C63001"/>
    <w:rsid w:val="00C706AF"/>
    <w:rsid w:val="00C7142D"/>
    <w:rsid w:val="00C74E8B"/>
    <w:rsid w:val="00C75B8E"/>
    <w:rsid w:val="00C80539"/>
    <w:rsid w:val="00C80B76"/>
    <w:rsid w:val="00C902EA"/>
    <w:rsid w:val="00C926CE"/>
    <w:rsid w:val="00C97B46"/>
    <w:rsid w:val="00CA16E5"/>
    <w:rsid w:val="00CA1BD0"/>
    <w:rsid w:val="00CA5F37"/>
    <w:rsid w:val="00CA6BB6"/>
    <w:rsid w:val="00CA7190"/>
    <w:rsid w:val="00CB12EF"/>
    <w:rsid w:val="00CB1F1F"/>
    <w:rsid w:val="00CB6FCD"/>
    <w:rsid w:val="00CC458A"/>
    <w:rsid w:val="00CD0E32"/>
    <w:rsid w:val="00CD32FA"/>
    <w:rsid w:val="00CE0B93"/>
    <w:rsid w:val="00CE550D"/>
    <w:rsid w:val="00CE5EC3"/>
    <w:rsid w:val="00CE7677"/>
    <w:rsid w:val="00CF0568"/>
    <w:rsid w:val="00CF3C7B"/>
    <w:rsid w:val="00CF43A2"/>
    <w:rsid w:val="00CF6124"/>
    <w:rsid w:val="00CF62C2"/>
    <w:rsid w:val="00CF7CE8"/>
    <w:rsid w:val="00D037EF"/>
    <w:rsid w:val="00D13278"/>
    <w:rsid w:val="00D16D4F"/>
    <w:rsid w:val="00D2326E"/>
    <w:rsid w:val="00D25757"/>
    <w:rsid w:val="00D262FD"/>
    <w:rsid w:val="00D26E1D"/>
    <w:rsid w:val="00D278F5"/>
    <w:rsid w:val="00D302D6"/>
    <w:rsid w:val="00D3365D"/>
    <w:rsid w:val="00D3514D"/>
    <w:rsid w:val="00D35A2D"/>
    <w:rsid w:val="00D425E9"/>
    <w:rsid w:val="00D42A88"/>
    <w:rsid w:val="00D42F9D"/>
    <w:rsid w:val="00D44A43"/>
    <w:rsid w:val="00D45416"/>
    <w:rsid w:val="00D52D2F"/>
    <w:rsid w:val="00D53B79"/>
    <w:rsid w:val="00D555DE"/>
    <w:rsid w:val="00D61666"/>
    <w:rsid w:val="00D6341C"/>
    <w:rsid w:val="00D65AC8"/>
    <w:rsid w:val="00D708E3"/>
    <w:rsid w:val="00D73B57"/>
    <w:rsid w:val="00D73E08"/>
    <w:rsid w:val="00D81B24"/>
    <w:rsid w:val="00D82E6D"/>
    <w:rsid w:val="00D838EF"/>
    <w:rsid w:val="00D86531"/>
    <w:rsid w:val="00D921C3"/>
    <w:rsid w:val="00D96E5A"/>
    <w:rsid w:val="00D97677"/>
    <w:rsid w:val="00DA79CB"/>
    <w:rsid w:val="00DA7AFE"/>
    <w:rsid w:val="00DB088D"/>
    <w:rsid w:val="00DB3312"/>
    <w:rsid w:val="00DB3569"/>
    <w:rsid w:val="00DB3938"/>
    <w:rsid w:val="00DB422F"/>
    <w:rsid w:val="00DB4D22"/>
    <w:rsid w:val="00DB514C"/>
    <w:rsid w:val="00DC039C"/>
    <w:rsid w:val="00DC09DA"/>
    <w:rsid w:val="00DC1E7B"/>
    <w:rsid w:val="00DD01DC"/>
    <w:rsid w:val="00DD11B0"/>
    <w:rsid w:val="00DD13F6"/>
    <w:rsid w:val="00DD1B82"/>
    <w:rsid w:val="00DE66CB"/>
    <w:rsid w:val="00DF58DC"/>
    <w:rsid w:val="00DF6341"/>
    <w:rsid w:val="00E0711F"/>
    <w:rsid w:val="00E11E52"/>
    <w:rsid w:val="00E14AE3"/>
    <w:rsid w:val="00E17865"/>
    <w:rsid w:val="00E17B16"/>
    <w:rsid w:val="00E17C92"/>
    <w:rsid w:val="00E21C0B"/>
    <w:rsid w:val="00E26A9B"/>
    <w:rsid w:val="00E32396"/>
    <w:rsid w:val="00E336D9"/>
    <w:rsid w:val="00E3515E"/>
    <w:rsid w:val="00E461E9"/>
    <w:rsid w:val="00E50E30"/>
    <w:rsid w:val="00E52BB0"/>
    <w:rsid w:val="00E532AB"/>
    <w:rsid w:val="00E57B0F"/>
    <w:rsid w:val="00E632B6"/>
    <w:rsid w:val="00E63A71"/>
    <w:rsid w:val="00E63D07"/>
    <w:rsid w:val="00E65CD8"/>
    <w:rsid w:val="00E67F47"/>
    <w:rsid w:val="00E70109"/>
    <w:rsid w:val="00E71A2D"/>
    <w:rsid w:val="00E75A5D"/>
    <w:rsid w:val="00E81C93"/>
    <w:rsid w:val="00E83AA1"/>
    <w:rsid w:val="00E83F22"/>
    <w:rsid w:val="00E8401E"/>
    <w:rsid w:val="00E85A24"/>
    <w:rsid w:val="00E85C23"/>
    <w:rsid w:val="00E9216D"/>
    <w:rsid w:val="00E9217C"/>
    <w:rsid w:val="00E940F8"/>
    <w:rsid w:val="00E97A97"/>
    <w:rsid w:val="00EA2A0C"/>
    <w:rsid w:val="00EA4E74"/>
    <w:rsid w:val="00EA60E4"/>
    <w:rsid w:val="00EA7D4D"/>
    <w:rsid w:val="00EB0763"/>
    <w:rsid w:val="00EB4530"/>
    <w:rsid w:val="00EB4DC7"/>
    <w:rsid w:val="00EB6818"/>
    <w:rsid w:val="00EB704F"/>
    <w:rsid w:val="00EB725B"/>
    <w:rsid w:val="00EC6281"/>
    <w:rsid w:val="00ED03DF"/>
    <w:rsid w:val="00ED2617"/>
    <w:rsid w:val="00ED39C2"/>
    <w:rsid w:val="00ED5B86"/>
    <w:rsid w:val="00ED6EFC"/>
    <w:rsid w:val="00EE1E80"/>
    <w:rsid w:val="00EE23DB"/>
    <w:rsid w:val="00EE5BB5"/>
    <w:rsid w:val="00EE6CCA"/>
    <w:rsid w:val="00EF1691"/>
    <w:rsid w:val="00EF336D"/>
    <w:rsid w:val="00EF4772"/>
    <w:rsid w:val="00EF56E2"/>
    <w:rsid w:val="00F11627"/>
    <w:rsid w:val="00F12545"/>
    <w:rsid w:val="00F26333"/>
    <w:rsid w:val="00F30CBB"/>
    <w:rsid w:val="00F33452"/>
    <w:rsid w:val="00F33727"/>
    <w:rsid w:val="00F35A18"/>
    <w:rsid w:val="00F36B41"/>
    <w:rsid w:val="00F4142C"/>
    <w:rsid w:val="00F43E01"/>
    <w:rsid w:val="00F46168"/>
    <w:rsid w:val="00F566C4"/>
    <w:rsid w:val="00F60883"/>
    <w:rsid w:val="00F62E8E"/>
    <w:rsid w:val="00F63BD1"/>
    <w:rsid w:val="00F66A3E"/>
    <w:rsid w:val="00F7762A"/>
    <w:rsid w:val="00F77D92"/>
    <w:rsid w:val="00F80A7A"/>
    <w:rsid w:val="00F917A1"/>
    <w:rsid w:val="00F95FD3"/>
    <w:rsid w:val="00FA1D00"/>
    <w:rsid w:val="00FA2234"/>
    <w:rsid w:val="00FA3AF5"/>
    <w:rsid w:val="00FA5419"/>
    <w:rsid w:val="00FA54E9"/>
    <w:rsid w:val="00FA6A5E"/>
    <w:rsid w:val="00FB1762"/>
    <w:rsid w:val="00FC1201"/>
    <w:rsid w:val="00FC4C05"/>
    <w:rsid w:val="00FC53FF"/>
    <w:rsid w:val="00FC6CA2"/>
    <w:rsid w:val="00FD2C58"/>
    <w:rsid w:val="00FD5E52"/>
    <w:rsid w:val="00FD6F2E"/>
    <w:rsid w:val="00FF09D4"/>
    <w:rsid w:val="00FF1B74"/>
    <w:rsid w:val="00FF1CC5"/>
    <w:rsid w:val="00FF3BF6"/>
    <w:rsid w:val="00FF4B6A"/>
    <w:rsid w:val="00FF55F6"/>
    <w:rsid w:val="00FF60B7"/>
    <w:rsid w:val="00FF7CC9"/>
    <w:rsid w:val="02AD571B"/>
    <w:rsid w:val="04682D05"/>
    <w:rsid w:val="04A34299"/>
    <w:rsid w:val="05314AE3"/>
    <w:rsid w:val="056A331D"/>
    <w:rsid w:val="064B3D78"/>
    <w:rsid w:val="064F5E0E"/>
    <w:rsid w:val="08073DEB"/>
    <w:rsid w:val="09A8517D"/>
    <w:rsid w:val="0AED19AA"/>
    <w:rsid w:val="0AF167E7"/>
    <w:rsid w:val="0B6B49A4"/>
    <w:rsid w:val="0CDA2094"/>
    <w:rsid w:val="0D625CDD"/>
    <w:rsid w:val="0E506060"/>
    <w:rsid w:val="0ED55003"/>
    <w:rsid w:val="0EEE4221"/>
    <w:rsid w:val="0F0C7D31"/>
    <w:rsid w:val="0F3B571B"/>
    <w:rsid w:val="0F803542"/>
    <w:rsid w:val="0FAF5265"/>
    <w:rsid w:val="0FD53492"/>
    <w:rsid w:val="11335F2A"/>
    <w:rsid w:val="115735F1"/>
    <w:rsid w:val="13A52059"/>
    <w:rsid w:val="13A60CEE"/>
    <w:rsid w:val="1438382C"/>
    <w:rsid w:val="14DA6F25"/>
    <w:rsid w:val="153B6599"/>
    <w:rsid w:val="15617F64"/>
    <w:rsid w:val="16242CC9"/>
    <w:rsid w:val="16A70FFF"/>
    <w:rsid w:val="177D259E"/>
    <w:rsid w:val="17FE6739"/>
    <w:rsid w:val="19210C33"/>
    <w:rsid w:val="19AE2805"/>
    <w:rsid w:val="1A701273"/>
    <w:rsid w:val="1C7D4B4A"/>
    <w:rsid w:val="1C865C52"/>
    <w:rsid w:val="1C875ACF"/>
    <w:rsid w:val="1E331302"/>
    <w:rsid w:val="1FF408F5"/>
    <w:rsid w:val="1FFE3F42"/>
    <w:rsid w:val="205347E7"/>
    <w:rsid w:val="205D567A"/>
    <w:rsid w:val="208B72BA"/>
    <w:rsid w:val="211A6618"/>
    <w:rsid w:val="224A31DA"/>
    <w:rsid w:val="22C8090B"/>
    <w:rsid w:val="23FB40AE"/>
    <w:rsid w:val="2563263F"/>
    <w:rsid w:val="26C216C0"/>
    <w:rsid w:val="27662D13"/>
    <w:rsid w:val="2A7A38D3"/>
    <w:rsid w:val="2DF57B3B"/>
    <w:rsid w:val="2EC7044E"/>
    <w:rsid w:val="2EF85075"/>
    <w:rsid w:val="2F116B50"/>
    <w:rsid w:val="2F282F9F"/>
    <w:rsid w:val="2FD4325D"/>
    <w:rsid w:val="30602980"/>
    <w:rsid w:val="30A50207"/>
    <w:rsid w:val="316504D9"/>
    <w:rsid w:val="32B8715F"/>
    <w:rsid w:val="33A6431A"/>
    <w:rsid w:val="33AC6086"/>
    <w:rsid w:val="342F5D1B"/>
    <w:rsid w:val="34CB69CC"/>
    <w:rsid w:val="35BB5DEA"/>
    <w:rsid w:val="36BA7214"/>
    <w:rsid w:val="37E73D0C"/>
    <w:rsid w:val="383158F9"/>
    <w:rsid w:val="39782159"/>
    <w:rsid w:val="39F831C2"/>
    <w:rsid w:val="3C55523D"/>
    <w:rsid w:val="3CDB64FF"/>
    <w:rsid w:val="3E825CA9"/>
    <w:rsid w:val="3F6C16AA"/>
    <w:rsid w:val="41352915"/>
    <w:rsid w:val="41403867"/>
    <w:rsid w:val="41A43679"/>
    <w:rsid w:val="43A84F3E"/>
    <w:rsid w:val="44613619"/>
    <w:rsid w:val="4552111B"/>
    <w:rsid w:val="45B878B2"/>
    <w:rsid w:val="45EF01A8"/>
    <w:rsid w:val="47187C3D"/>
    <w:rsid w:val="474074F0"/>
    <w:rsid w:val="4804169F"/>
    <w:rsid w:val="483B7D64"/>
    <w:rsid w:val="496157BB"/>
    <w:rsid w:val="49C6019B"/>
    <w:rsid w:val="4BAC08E5"/>
    <w:rsid w:val="4BE92C08"/>
    <w:rsid w:val="4BEC0345"/>
    <w:rsid w:val="4C881D3E"/>
    <w:rsid w:val="4D8053F2"/>
    <w:rsid w:val="4DA14662"/>
    <w:rsid w:val="4DB55000"/>
    <w:rsid w:val="4DD80AEE"/>
    <w:rsid w:val="4E4026C8"/>
    <w:rsid w:val="4F1F7E1B"/>
    <w:rsid w:val="4F750517"/>
    <w:rsid w:val="5015140E"/>
    <w:rsid w:val="50D82564"/>
    <w:rsid w:val="529447CE"/>
    <w:rsid w:val="53CE351D"/>
    <w:rsid w:val="546577D7"/>
    <w:rsid w:val="54F34297"/>
    <w:rsid w:val="55C82F10"/>
    <w:rsid w:val="55F33B57"/>
    <w:rsid w:val="56491FB1"/>
    <w:rsid w:val="566B3F80"/>
    <w:rsid w:val="56777D6D"/>
    <w:rsid w:val="57F462E4"/>
    <w:rsid w:val="58A04E3B"/>
    <w:rsid w:val="58DB4258"/>
    <w:rsid w:val="595F4C9B"/>
    <w:rsid w:val="59A1205F"/>
    <w:rsid w:val="5A426E94"/>
    <w:rsid w:val="5AC47DDC"/>
    <w:rsid w:val="5AF0291B"/>
    <w:rsid w:val="5B4903D5"/>
    <w:rsid w:val="5B6B496D"/>
    <w:rsid w:val="5BC445BC"/>
    <w:rsid w:val="5C4F3A12"/>
    <w:rsid w:val="5CD86811"/>
    <w:rsid w:val="5D4E4BE5"/>
    <w:rsid w:val="5D5F58D5"/>
    <w:rsid w:val="5DF7341B"/>
    <w:rsid w:val="5E255797"/>
    <w:rsid w:val="5E4A01D9"/>
    <w:rsid w:val="5E5551D2"/>
    <w:rsid w:val="5E73277C"/>
    <w:rsid w:val="5FB17FA9"/>
    <w:rsid w:val="5FCE4B1D"/>
    <w:rsid w:val="61C52887"/>
    <w:rsid w:val="647B665E"/>
    <w:rsid w:val="64F469E9"/>
    <w:rsid w:val="659530A4"/>
    <w:rsid w:val="65A4069A"/>
    <w:rsid w:val="66EC6986"/>
    <w:rsid w:val="68915099"/>
    <w:rsid w:val="69371ED5"/>
    <w:rsid w:val="69CF6440"/>
    <w:rsid w:val="6B1737DE"/>
    <w:rsid w:val="6D365441"/>
    <w:rsid w:val="6FAB7D7B"/>
    <w:rsid w:val="6FD50796"/>
    <w:rsid w:val="6FDF3E4E"/>
    <w:rsid w:val="709350D7"/>
    <w:rsid w:val="72A90525"/>
    <w:rsid w:val="74E86A3E"/>
    <w:rsid w:val="75C9242A"/>
    <w:rsid w:val="76155F14"/>
    <w:rsid w:val="76625D43"/>
    <w:rsid w:val="79252591"/>
    <w:rsid w:val="794A5DDB"/>
    <w:rsid w:val="7986316D"/>
    <w:rsid w:val="79C0609D"/>
    <w:rsid w:val="79CF6B0C"/>
    <w:rsid w:val="7B272B3B"/>
    <w:rsid w:val="7BC525A7"/>
    <w:rsid w:val="7C631BBF"/>
    <w:rsid w:val="7CB607F0"/>
    <w:rsid w:val="7F957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560" w:lineRule="exact"/>
      <w:ind w:firstLine="200" w:firstLineChars="20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5"/>
    <w:qFormat/>
    <w:uiPriority w:val="9"/>
    <w:pPr>
      <w:spacing w:line="600" w:lineRule="exact"/>
      <w:outlineLvl w:val="0"/>
    </w:pPr>
    <w:rPr>
      <w:rFonts w:eastAsia="黑体"/>
      <w:bCs/>
      <w:kern w:val="44"/>
      <w:szCs w:val="44"/>
    </w:rPr>
  </w:style>
  <w:style w:type="paragraph" w:styleId="3">
    <w:name w:val="heading 2"/>
    <w:basedOn w:val="1"/>
    <w:next w:val="1"/>
    <w:unhideWhenUsed/>
    <w:qFormat/>
    <w:uiPriority w:val="9"/>
    <w:pPr>
      <w:ind w:firstLine="640"/>
      <w:outlineLvl w:val="1"/>
    </w:pPr>
    <w:rPr>
      <w:rFonts w:eastAsia="楷体_GB2312"/>
      <w:szCs w:val="22"/>
      <w:lang w:val="zh-CN" w:bidi="zh-CN"/>
    </w:rPr>
  </w:style>
  <w:style w:type="paragraph" w:styleId="4">
    <w:name w:val="heading 3"/>
    <w:basedOn w:val="1"/>
    <w:next w:val="1"/>
    <w:unhideWhenUsed/>
    <w:qFormat/>
    <w:uiPriority w:val="9"/>
    <w:pPr>
      <w:ind w:firstLine="643"/>
      <w:outlineLvl w:val="2"/>
    </w:pPr>
    <w:rPr>
      <w:b/>
    </w:rPr>
  </w:style>
  <w:style w:type="paragraph" w:styleId="5">
    <w:name w:val="heading 4"/>
    <w:basedOn w:val="1"/>
    <w:next w:val="1"/>
    <w:link w:val="26"/>
    <w:unhideWhenUsed/>
    <w:qFormat/>
    <w:uiPriority w:val="9"/>
    <w:pPr>
      <w:outlineLvl w:val="3"/>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Document Map"/>
    <w:basedOn w:val="1"/>
    <w:link w:val="33"/>
    <w:semiHidden/>
    <w:unhideWhenUsed/>
    <w:qFormat/>
    <w:uiPriority w:val="99"/>
    <w:rPr>
      <w:rFonts w:ascii="宋体"/>
      <w:sz w:val="18"/>
      <w:szCs w:val="18"/>
    </w:rPr>
  </w:style>
  <w:style w:type="paragraph" w:styleId="7">
    <w:name w:val="toa heading"/>
    <w:basedOn w:val="1"/>
    <w:next w:val="1"/>
    <w:qFormat/>
    <w:uiPriority w:val="0"/>
    <w:pPr>
      <w:spacing w:before="120"/>
    </w:pPr>
    <w:rPr>
      <w:rFonts w:ascii="Arial" w:hAnsi="Arial" w:cs="Arial"/>
      <w:sz w:val="24"/>
    </w:rPr>
  </w:style>
  <w:style w:type="paragraph" w:styleId="8">
    <w:name w:val="annotation text"/>
    <w:basedOn w:val="1"/>
    <w:link w:val="40"/>
    <w:semiHidden/>
    <w:unhideWhenUsed/>
    <w:qFormat/>
    <w:uiPriority w:val="99"/>
    <w:pPr>
      <w:jc w:val="left"/>
    </w:pPr>
  </w:style>
  <w:style w:type="paragraph" w:styleId="9">
    <w:name w:val="toc 3"/>
    <w:basedOn w:val="1"/>
    <w:next w:val="1"/>
    <w:unhideWhenUsed/>
    <w:qFormat/>
    <w:uiPriority w:val="39"/>
    <w:pPr>
      <w:ind w:left="840" w:leftChars="400"/>
    </w:pPr>
  </w:style>
  <w:style w:type="paragraph" w:styleId="10">
    <w:name w:val="Date"/>
    <w:basedOn w:val="1"/>
    <w:next w:val="1"/>
    <w:link w:val="43"/>
    <w:semiHidden/>
    <w:unhideWhenUsed/>
    <w:qFormat/>
    <w:uiPriority w:val="99"/>
    <w:pPr>
      <w:ind w:left="100" w:leftChars="2500"/>
    </w:pPr>
  </w:style>
  <w:style w:type="paragraph" w:styleId="11">
    <w:name w:val="Balloon Text"/>
    <w:basedOn w:val="1"/>
    <w:link w:val="31"/>
    <w:semiHidden/>
    <w:unhideWhenUsed/>
    <w:qFormat/>
    <w:uiPriority w:val="99"/>
    <w:rPr>
      <w:sz w:val="18"/>
      <w:szCs w:val="18"/>
    </w:rPr>
  </w:style>
  <w:style w:type="paragraph" w:styleId="12">
    <w:name w:val="footer"/>
    <w:basedOn w:val="1"/>
    <w:link w:val="28"/>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3">
    <w:name w:val="header"/>
    <w:basedOn w:val="1"/>
    <w:link w:val="27"/>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4">
    <w:name w:val="toc 1"/>
    <w:next w:val="1"/>
    <w:unhideWhenUsed/>
    <w:qFormat/>
    <w:uiPriority w:val="39"/>
    <w:pPr>
      <w:spacing w:after="60" w:line="560" w:lineRule="exact"/>
      <w:jc w:val="both"/>
    </w:pPr>
    <w:rPr>
      <w:rFonts w:ascii="Times New Roman" w:hAnsi="Times New Roman" w:eastAsia="黑体" w:cs="Times New Roman"/>
      <w:kern w:val="2"/>
      <w:sz w:val="32"/>
      <w:szCs w:val="24"/>
      <w:lang w:val="en-US" w:eastAsia="zh-CN" w:bidi="ar-SA"/>
    </w:rPr>
  </w:style>
  <w:style w:type="paragraph" w:styleId="15">
    <w:name w:val="Subtitle"/>
    <w:next w:val="1"/>
    <w:link w:val="38"/>
    <w:qFormat/>
    <w:uiPriority w:val="11"/>
    <w:pPr>
      <w:spacing w:line="600" w:lineRule="exact"/>
      <w:ind w:firstLine="200" w:firstLineChars="200"/>
      <w:jc w:val="both"/>
      <w:outlineLvl w:val="1"/>
    </w:pPr>
    <w:rPr>
      <w:rFonts w:ascii="Times New Roman" w:hAnsi="Times New Roman" w:eastAsia="楷体_GB2312" w:cs="Times New Roman"/>
      <w:bCs/>
      <w:kern w:val="28"/>
      <w:sz w:val="32"/>
      <w:szCs w:val="32"/>
      <w:lang w:val="en-US" w:eastAsia="zh-CN" w:bidi="ar-SA"/>
    </w:rPr>
  </w:style>
  <w:style w:type="paragraph" w:styleId="16">
    <w:name w:val="toc 2"/>
    <w:basedOn w:val="1"/>
    <w:next w:val="1"/>
    <w:unhideWhenUsed/>
    <w:qFormat/>
    <w:uiPriority w:val="39"/>
    <w:pPr>
      <w:ind w:left="100" w:leftChars="100" w:firstLine="0" w:firstLineChars="0"/>
    </w:pPr>
  </w:style>
  <w:style w:type="paragraph" w:styleId="17">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8">
    <w:name w:val="annotation subject"/>
    <w:basedOn w:val="8"/>
    <w:next w:val="8"/>
    <w:link w:val="41"/>
    <w:semiHidden/>
    <w:unhideWhenUsed/>
    <w:qFormat/>
    <w:uiPriority w:val="99"/>
    <w:rPr>
      <w:b/>
      <w:bCs/>
    </w:rPr>
  </w:style>
  <w:style w:type="table" w:styleId="20">
    <w:name w:val="Table Grid"/>
    <w:basedOn w:val="19"/>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basedOn w:val="21"/>
    <w:unhideWhenUsed/>
    <w:qFormat/>
    <w:uiPriority w:val="99"/>
    <w:rPr>
      <w:color w:val="0563C1" w:themeColor="hyperlink"/>
      <w:u w:val="single"/>
    </w:rPr>
  </w:style>
  <w:style w:type="character" w:styleId="23">
    <w:name w:val="annotation reference"/>
    <w:basedOn w:val="21"/>
    <w:semiHidden/>
    <w:unhideWhenUsed/>
    <w:qFormat/>
    <w:uiPriority w:val="99"/>
    <w:rPr>
      <w:sz w:val="21"/>
      <w:szCs w:val="21"/>
    </w:rPr>
  </w:style>
  <w:style w:type="paragraph" w:customStyle="1" w:styleId="24">
    <w:name w:val="表格"/>
    <w:basedOn w:val="1"/>
    <w:qFormat/>
    <w:uiPriority w:val="0"/>
    <w:pPr>
      <w:spacing w:line="360" w:lineRule="atLeast"/>
      <w:ind w:firstLine="0" w:firstLineChars="0"/>
    </w:pPr>
    <w:rPr>
      <w:sz w:val="24"/>
    </w:rPr>
  </w:style>
  <w:style w:type="character" w:customStyle="1" w:styleId="25">
    <w:name w:val="标题 1 Char"/>
    <w:basedOn w:val="21"/>
    <w:link w:val="2"/>
    <w:qFormat/>
    <w:uiPriority w:val="9"/>
    <w:rPr>
      <w:rFonts w:eastAsia="黑体"/>
      <w:bCs/>
      <w:kern w:val="44"/>
      <w:sz w:val="32"/>
      <w:szCs w:val="44"/>
    </w:rPr>
  </w:style>
  <w:style w:type="character" w:customStyle="1" w:styleId="26">
    <w:name w:val="标题 4 Char"/>
    <w:link w:val="5"/>
    <w:qFormat/>
    <w:uiPriority w:val="0"/>
    <w:rPr>
      <w:rFonts w:ascii="Times New Roman" w:hAnsi="Times New Roman" w:eastAsia="仿宋_GB2312"/>
    </w:rPr>
  </w:style>
  <w:style w:type="character" w:customStyle="1" w:styleId="27">
    <w:name w:val="页眉 Char"/>
    <w:link w:val="13"/>
    <w:qFormat/>
    <w:uiPriority w:val="99"/>
    <w:rPr>
      <w:sz w:val="18"/>
      <w:szCs w:val="18"/>
    </w:rPr>
  </w:style>
  <w:style w:type="character" w:customStyle="1" w:styleId="28">
    <w:name w:val="页脚 Char"/>
    <w:link w:val="12"/>
    <w:qFormat/>
    <w:uiPriority w:val="99"/>
    <w:rPr>
      <w:sz w:val="18"/>
      <w:szCs w:val="18"/>
    </w:rPr>
  </w:style>
  <w:style w:type="character" w:customStyle="1" w:styleId="29">
    <w:name w:val="页眉 字符1"/>
    <w:basedOn w:val="21"/>
    <w:semiHidden/>
    <w:qFormat/>
    <w:uiPriority w:val="99"/>
    <w:rPr>
      <w:rFonts w:ascii="Times New Roman" w:hAnsi="Times New Roman" w:eastAsia="宋体" w:cs="Times New Roman"/>
      <w:sz w:val="18"/>
      <w:szCs w:val="18"/>
    </w:rPr>
  </w:style>
  <w:style w:type="character" w:customStyle="1" w:styleId="30">
    <w:name w:val="页脚 字符1"/>
    <w:basedOn w:val="21"/>
    <w:semiHidden/>
    <w:qFormat/>
    <w:uiPriority w:val="99"/>
    <w:rPr>
      <w:rFonts w:ascii="Times New Roman" w:hAnsi="Times New Roman" w:eastAsia="宋体" w:cs="Times New Roman"/>
      <w:sz w:val="18"/>
      <w:szCs w:val="18"/>
    </w:rPr>
  </w:style>
  <w:style w:type="character" w:customStyle="1" w:styleId="31">
    <w:name w:val="批注框文本 Char"/>
    <w:basedOn w:val="21"/>
    <w:link w:val="11"/>
    <w:semiHidden/>
    <w:qFormat/>
    <w:uiPriority w:val="99"/>
    <w:rPr>
      <w:rFonts w:ascii="Times New Roman" w:hAnsi="Times New Roman" w:eastAsia="宋体" w:cs="Times New Roman"/>
      <w:sz w:val="18"/>
      <w:szCs w:val="18"/>
    </w:rPr>
  </w:style>
  <w:style w:type="paragraph" w:customStyle="1" w:styleId="32">
    <w:name w:val="TOC 标题1"/>
    <w:basedOn w:val="2"/>
    <w:next w:val="1"/>
    <w:unhideWhenUsed/>
    <w:qFormat/>
    <w:uiPriority w:val="39"/>
    <w:pPr>
      <w:widowControl/>
      <w:spacing w:before="240" w:line="259" w:lineRule="auto"/>
      <w:jc w:val="left"/>
      <w:outlineLvl w:val="9"/>
    </w:pPr>
    <w:rPr>
      <w:rFonts w:asciiTheme="majorHAnsi" w:hAnsiTheme="majorHAnsi" w:eastAsiaTheme="majorEastAsia" w:cstheme="majorBidi"/>
      <w:bCs w:val="0"/>
      <w:color w:val="2F5496" w:themeColor="accent1" w:themeShade="BF"/>
      <w:kern w:val="0"/>
      <w:szCs w:val="32"/>
    </w:rPr>
  </w:style>
  <w:style w:type="character" w:customStyle="1" w:styleId="33">
    <w:name w:val="文档结构图 Char"/>
    <w:basedOn w:val="21"/>
    <w:link w:val="6"/>
    <w:semiHidden/>
    <w:qFormat/>
    <w:uiPriority w:val="99"/>
    <w:rPr>
      <w:rFonts w:ascii="宋体" w:hAnsi="Times New Roman" w:eastAsia="宋体" w:cs="Times New Roman"/>
      <w:sz w:val="18"/>
      <w:szCs w:val="18"/>
    </w:rPr>
  </w:style>
  <w:style w:type="paragraph" w:customStyle="1" w:styleId="34">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5">
    <w:name w:val="font01"/>
    <w:basedOn w:val="21"/>
    <w:qFormat/>
    <w:uiPriority w:val="0"/>
    <w:rPr>
      <w:rFonts w:hint="eastAsia" w:ascii="宋体" w:hAnsi="宋体" w:eastAsia="宋体" w:cs="宋体"/>
      <w:color w:val="000000"/>
      <w:sz w:val="24"/>
      <w:szCs w:val="24"/>
      <w:u w:val="none"/>
    </w:rPr>
  </w:style>
  <w:style w:type="character" w:customStyle="1" w:styleId="36">
    <w:name w:val="font11"/>
    <w:basedOn w:val="21"/>
    <w:qFormat/>
    <w:uiPriority w:val="0"/>
    <w:rPr>
      <w:rFonts w:hint="default" w:ascii="Arial" w:hAnsi="Arial" w:cs="Arial"/>
      <w:color w:val="000000"/>
      <w:sz w:val="24"/>
      <w:szCs w:val="24"/>
      <w:u w:val="none"/>
    </w:rPr>
  </w:style>
  <w:style w:type="character" w:customStyle="1" w:styleId="37">
    <w:name w:val="font41"/>
    <w:basedOn w:val="21"/>
    <w:qFormat/>
    <w:uiPriority w:val="0"/>
    <w:rPr>
      <w:rFonts w:hint="eastAsia" w:ascii="宋体" w:hAnsi="宋体" w:eastAsia="宋体" w:cs="宋体"/>
      <w:color w:val="000000"/>
      <w:sz w:val="24"/>
      <w:szCs w:val="24"/>
      <w:u w:val="none"/>
    </w:rPr>
  </w:style>
  <w:style w:type="character" w:customStyle="1" w:styleId="38">
    <w:name w:val="副标题 Char"/>
    <w:basedOn w:val="21"/>
    <w:link w:val="15"/>
    <w:uiPriority w:val="11"/>
    <w:rPr>
      <w:rFonts w:eastAsia="楷体_GB2312"/>
      <w:bCs/>
      <w:kern w:val="28"/>
      <w:sz w:val="32"/>
      <w:szCs w:val="32"/>
    </w:rPr>
  </w:style>
  <w:style w:type="paragraph" w:styleId="39">
    <w:name w:val="List Paragraph"/>
    <w:basedOn w:val="1"/>
    <w:unhideWhenUsed/>
    <w:qFormat/>
    <w:uiPriority w:val="99"/>
    <w:pPr>
      <w:ind w:firstLine="420"/>
    </w:pPr>
  </w:style>
  <w:style w:type="character" w:customStyle="1" w:styleId="40">
    <w:name w:val="批注文字 Char"/>
    <w:basedOn w:val="21"/>
    <w:link w:val="8"/>
    <w:semiHidden/>
    <w:qFormat/>
    <w:uiPriority w:val="99"/>
    <w:rPr>
      <w:rFonts w:eastAsia="仿宋_GB2312"/>
      <w:kern w:val="2"/>
      <w:sz w:val="32"/>
      <w:szCs w:val="24"/>
    </w:rPr>
  </w:style>
  <w:style w:type="character" w:customStyle="1" w:styleId="41">
    <w:name w:val="批注主题 Char"/>
    <w:basedOn w:val="40"/>
    <w:link w:val="18"/>
    <w:uiPriority w:val="0"/>
    <w:rPr>
      <w:rFonts w:eastAsia="仿宋_GB2312"/>
      <w:kern w:val="2"/>
      <w:sz w:val="32"/>
      <w:szCs w:val="24"/>
    </w:rPr>
  </w:style>
  <w:style w:type="paragraph" w:customStyle="1" w:styleId="42">
    <w:name w:val="TOC Heading"/>
    <w:basedOn w:val="2"/>
    <w:next w:val="1"/>
    <w:unhideWhenUsed/>
    <w:qFormat/>
    <w:uiPriority w:val="39"/>
    <w:pPr>
      <w:keepNext/>
      <w:keepLines/>
      <w:widowControl/>
      <w:spacing w:before="240" w:line="259" w:lineRule="auto"/>
      <w:ind w:firstLine="0" w:firstLineChars="0"/>
      <w:jc w:val="left"/>
      <w:outlineLvl w:val="9"/>
    </w:pPr>
    <w:rPr>
      <w:rFonts w:asciiTheme="majorHAnsi" w:hAnsiTheme="majorHAnsi" w:eastAsiaTheme="majorEastAsia" w:cstheme="majorBidi"/>
      <w:bCs w:val="0"/>
      <w:color w:val="2F5496" w:themeColor="accent1" w:themeShade="BF"/>
      <w:kern w:val="0"/>
      <w:szCs w:val="32"/>
    </w:rPr>
  </w:style>
  <w:style w:type="character" w:customStyle="1" w:styleId="43">
    <w:name w:val="日期 Char"/>
    <w:basedOn w:val="21"/>
    <w:link w:val="10"/>
    <w:semiHidden/>
    <w:qFormat/>
    <w:uiPriority w:val="99"/>
    <w:rPr>
      <w:rFonts w:eastAsia="仿宋_GB2312"/>
      <w:kern w:val="2"/>
      <w:sz w:val="32"/>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98A117-BE7A-40C7-99E8-C6DC9FD7364E}">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594</Words>
  <Characters>3392</Characters>
  <Lines>28</Lines>
  <Paragraphs>7</Paragraphs>
  <TotalTime>186</TotalTime>
  <ScaleCrop>false</ScaleCrop>
  <LinksUpToDate>false</LinksUpToDate>
  <CharactersWithSpaces>3979</CharactersWithSpaces>
  <Application>WPS Office_11.1.0.10446_F1E327BC-269C-435d-A152-05C5408002CA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2020-09-29T01:50:00Z</dcterms:created>
  <dc:creator>Zhong Haohui 钟浩辉</dc:creator>
  <cp:lastModifiedBy>小</cp:lastModifiedBy>
  <cp:lastPrinted>2020-09-29T04:53:00Z</cp:lastPrinted>
  <dcterms:modified xsi:type="dcterms:W3CDTF">2021-04-02T06:52:57Z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2052-11.1.0.10446</vt:lpwstr>
  </property>
  <property fmtid="{D5CDD505-2E9C-101B-9397-08002B2CF9AE}" pid="3" name="ICV">
    <vt:lpwstr>A962C425307B4D20B4E7654CD682202B</vt:lpwstr>
  </property>
</Properties>
</file>