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0" w:lineRule="exact"/>
        <w:ind w:firstLine="0" w:firstLineChars="0"/>
        <w:jc w:val="center"/>
        <w:textAlignment w:val="auto"/>
        <w:rPr>
          <w:rFonts w:eastAsia="方正小标宋简体"/>
          <w:b w:val="0"/>
          <w:bCs/>
          <w:color w:val="000000" w:themeColor="text1"/>
          <w:sz w:val="44"/>
          <w:szCs w:val="44"/>
          <w14:textFill>
            <w14:solidFill>
              <w14:schemeClr w14:val="tx1"/>
            </w14:solidFill>
          </w14:textFill>
        </w:rPr>
      </w:pPr>
      <w:bookmarkStart w:id="0" w:name="_Toc19029256"/>
      <w:bookmarkStart w:id="1" w:name="_Toc19050195"/>
      <w:bookmarkStart w:id="2" w:name="_Toc16507566"/>
      <w:bookmarkStart w:id="3" w:name="_Toc50047257"/>
      <w:r>
        <w:rPr>
          <w:rFonts w:eastAsia="方正小标宋简体"/>
          <w:b/>
          <w:color w:val="000000" w:themeColor="text1"/>
          <w:sz w:val="44"/>
          <w:szCs w:val="44"/>
          <w14:textFill>
            <w14:solidFill>
              <w14:schemeClr w14:val="tx1"/>
            </w14:solidFill>
          </w14:textFill>
        </w:rPr>
        <w:t>广</w:t>
      </w:r>
      <w:r>
        <w:rPr>
          <w:rFonts w:eastAsia="方正小标宋简体"/>
          <w:b w:val="0"/>
          <w:bCs/>
          <w:color w:val="000000" w:themeColor="text1"/>
          <w:sz w:val="44"/>
          <w:szCs w:val="44"/>
          <w14:textFill>
            <w14:solidFill>
              <w14:schemeClr w14:val="tx1"/>
            </w14:solidFill>
          </w14:textFill>
        </w:rPr>
        <w:t>州市公安局花都区分局</w:t>
      </w:r>
      <w:r>
        <w:rPr>
          <w:rFonts w:hint="eastAsia" w:eastAsia="方正小标宋简体"/>
          <w:b w:val="0"/>
          <w:bCs/>
          <w:color w:val="000000" w:themeColor="text1"/>
          <w:sz w:val="44"/>
          <w:szCs w:val="44"/>
          <w14:textFill>
            <w14:solidFill>
              <w14:schemeClr w14:val="tx1"/>
            </w14:solidFill>
          </w14:textFill>
        </w:rPr>
        <w:t>第五期视频建设项目</w:t>
      </w:r>
      <w:r>
        <w:rPr>
          <w:rFonts w:eastAsia="方正小标宋简体"/>
          <w:b w:val="0"/>
          <w:bCs/>
          <w:color w:val="000000" w:themeColor="text1"/>
          <w:sz w:val="44"/>
          <w:szCs w:val="44"/>
          <w14:textFill>
            <w14:solidFill>
              <w14:schemeClr w14:val="tx1"/>
            </w14:solidFill>
          </w14:textFill>
        </w:rPr>
        <w:t>专项资金绩效重点评价</w:t>
      </w:r>
      <w:r>
        <w:rPr>
          <w:rFonts w:hint="eastAsia" w:eastAsia="方正小标宋简体"/>
          <w:b w:val="0"/>
          <w:bCs/>
          <w:color w:val="000000" w:themeColor="text1"/>
          <w:sz w:val="44"/>
          <w:szCs w:val="44"/>
          <w14:textFill>
            <w14:solidFill>
              <w14:schemeClr w14:val="tx1"/>
            </w14:solidFill>
          </w14:textFill>
        </w:rPr>
        <w:t>简要</w:t>
      </w:r>
      <w:r>
        <w:rPr>
          <w:rFonts w:eastAsia="方正小标宋简体"/>
          <w:b w:val="0"/>
          <w:bCs/>
          <w:color w:val="000000" w:themeColor="text1"/>
          <w:sz w:val="44"/>
          <w:szCs w:val="44"/>
          <w14:textFill>
            <w14:solidFill>
              <w14:schemeClr w14:val="tx1"/>
            </w14:solidFill>
          </w14:textFill>
        </w:rPr>
        <w:t>报告</w:t>
      </w:r>
    </w:p>
    <w:p>
      <w:pPr>
        <w:pStyle w:val="2"/>
        <w:keepNext w:val="0"/>
        <w:keepLines w:val="0"/>
        <w:pageBreakBefore w:val="0"/>
        <w:widowControl w:val="0"/>
        <w:kinsoku/>
        <w:wordWrap/>
        <w:overflowPunct/>
        <w:topLinePunct w:val="0"/>
        <w:autoSpaceDE/>
        <w:autoSpaceDN/>
        <w:bidi w:val="0"/>
        <w:adjustRightInd w:val="0"/>
        <w:spacing w:line="570" w:lineRule="exact"/>
        <w:ind w:left="0" w:leftChars="0" w:firstLine="0" w:firstLineChars="0"/>
        <w:jc w:val="center"/>
        <w:textAlignment w:val="auto"/>
        <w:rPr>
          <w:sz w:val="32"/>
          <w:szCs w:val="32"/>
        </w:rPr>
      </w:pPr>
      <w:r>
        <w:rPr>
          <w:color w:val="000000" w:themeColor="text1"/>
          <w:sz w:val="32"/>
          <w:szCs w:val="32"/>
          <w14:textFill>
            <w14:solidFill>
              <w14:schemeClr w14:val="tx1"/>
            </w14:solidFill>
          </w14:textFill>
        </w:rPr>
        <w:t>致同会计师事务所（特殊普通合伙）广州分所</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color w:val="000000" w:themeColor="text1"/>
          <w14:textFill>
            <w14:solidFill>
              <w14:schemeClr w14:val="tx1"/>
            </w14:solidFill>
          </w14:textFill>
        </w:rPr>
        <w:t>一、</w:t>
      </w:r>
      <w:bookmarkEnd w:id="0"/>
      <w:bookmarkEnd w:id="1"/>
      <w:bookmarkEnd w:id="2"/>
      <w:r>
        <w:rPr>
          <w:rFonts w:hint="eastAsia"/>
          <w:color w:val="000000" w:themeColor="text1"/>
          <w14:textFill>
            <w14:solidFill>
              <w14:schemeClr w14:val="tx1"/>
            </w14:solidFill>
          </w14:textFill>
        </w:rPr>
        <w:t>项目基本情况</w:t>
      </w:r>
      <w:bookmarkEnd w:id="3"/>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4" w:name="_Toc16507567"/>
      <w:bookmarkStart w:id="5" w:name="_Toc19050196"/>
      <w:bookmarkStart w:id="6" w:name="_Toc19029257"/>
      <w:bookmarkStart w:id="7" w:name="_Toc50047259"/>
      <w:r>
        <w:rPr>
          <w:color w:val="000000" w:themeColor="text1"/>
          <w14:textFill>
            <w14:solidFill>
              <w14:schemeClr w14:val="tx1"/>
            </w14:solidFill>
          </w14:textFill>
        </w:rPr>
        <w:t>（</w:t>
      </w:r>
      <w:r>
        <w:rPr>
          <w:rFonts w:hint="eastAsia"/>
          <w:color w:val="000000" w:themeColor="text1"/>
          <w14:textFill>
            <w14:solidFill>
              <w14:schemeClr w14:val="tx1"/>
            </w14:solidFill>
          </w14:textFill>
        </w:rPr>
        <w:t>一</w:t>
      </w:r>
      <w:r>
        <w:rPr>
          <w:color w:val="000000" w:themeColor="text1"/>
          <w14:textFill>
            <w14:solidFill>
              <w14:schemeClr w14:val="tx1"/>
            </w14:solidFill>
          </w14:textFill>
        </w:rPr>
        <w:t>）项目背景</w:t>
      </w:r>
      <w:bookmarkEnd w:id="4"/>
      <w:bookmarkEnd w:id="5"/>
      <w:bookmarkEnd w:id="6"/>
      <w:bookmarkEnd w:id="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根据《广州市信息化安全与管理职能视频系统建设应用规划（2</w:t>
      </w:r>
      <w:r>
        <w:rPr>
          <w:color w:val="000000" w:themeColor="text1"/>
          <w14:textFill>
            <w14:solidFill>
              <w14:schemeClr w14:val="tx1"/>
            </w14:solidFill>
          </w14:textFill>
        </w:rPr>
        <w:t>017</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2020</w:t>
      </w:r>
      <w:r>
        <w:rPr>
          <w:rFonts w:hint="eastAsia"/>
          <w:color w:val="000000" w:themeColor="text1"/>
          <w14:textFill>
            <w14:solidFill>
              <w14:schemeClr w14:val="tx1"/>
            </w14:solidFill>
          </w14:textFill>
        </w:rPr>
        <w:t>年）》部署，</w:t>
      </w:r>
      <w:r>
        <w:rPr>
          <w:rFonts w:hint="eastAsia"/>
          <w:color w:val="000000" w:themeColor="text1"/>
          <w:szCs w:val="32"/>
          <w14:textFill>
            <w14:solidFill>
              <w14:schemeClr w14:val="tx1"/>
            </w14:solidFill>
          </w14:textFill>
        </w:rPr>
        <w:t>在2020年底前，以视频大数据的采集、联网、整合、应用为主线，以“一核三轴两体系”为主体，构建广州市新型智能化视频系统架构。以视频资源云为核心枢纽，依托公安网、电子政务外网、互联网，面向社会治安、城市管理、公共服务等领域提供多元化应用支撑，实现“全域覆盖、全网共享、全时可用、全程可控”的建设目标。</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color w:val="000000" w:themeColor="text1"/>
          <w14:textFill>
            <w14:solidFill>
              <w14:schemeClr w14:val="tx1"/>
            </w14:solidFill>
          </w14:textFill>
        </w:rPr>
      </w:pPr>
      <w:bookmarkStart w:id="8" w:name="_Toc19050199"/>
      <w:bookmarkStart w:id="9" w:name="_Toc18652679"/>
      <w:bookmarkStart w:id="10" w:name="_Toc50047260"/>
      <w:bookmarkStart w:id="11" w:name="_Toc19029260"/>
      <w:bookmarkStart w:id="12" w:name="_Toc19050198"/>
      <w:bookmarkStart w:id="13" w:name="_Toc16507569"/>
      <w:bookmarkStart w:id="14" w:name="_Toc19029259"/>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二</w:t>
      </w:r>
      <w:r>
        <w:rPr>
          <w:rFonts w:cs="Times New Roman"/>
          <w:color w:val="000000" w:themeColor="text1"/>
          <w14:textFill>
            <w14:solidFill>
              <w14:schemeClr w14:val="tx1"/>
            </w14:solidFill>
          </w14:textFill>
        </w:rPr>
        <w:t>）项目实施概况</w:t>
      </w:r>
      <w:bookmarkEnd w:id="8"/>
      <w:bookmarkEnd w:id="9"/>
      <w:bookmarkEnd w:id="10"/>
      <w:bookmarkEnd w:id="11"/>
    </w:p>
    <w:p>
      <w:pPr>
        <w:pStyle w:val="5"/>
        <w:keepNext w:val="0"/>
        <w:keepLines w:val="0"/>
        <w:pageBreakBefore w:val="0"/>
        <w:widowControl w:val="0"/>
        <w:kinsoku/>
        <w:wordWrap/>
        <w:overflowPunct/>
        <w:topLinePunct w:val="0"/>
        <w:autoSpaceDE/>
        <w:autoSpaceDN/>
        <w:bidi w:val="0"/>
        <w:adjustRightInd w:val="0"/>
        <w:spacing w:line="570" w:lineRule="exact"/>
        <w:ind w:firstLine="643"/>
        <w:textAlignment w:val="auto"/>
        <w:rPr>
          <w:color w:val="000000" w:themeColor="text1"/>
          <w14:textFill>
            <w14:solidFill>
              <w14:schemeClr w14:val="tx1"/>
            </w14:solidFill>
          </w14:textFill>
        </w:rPr>
      </w:pPr>
      <w:bookmarkStart w:id="15" w:name="_Toc19029261"/>
      <w:r>
        <w:rPr>
          <w:color w:val="000000" w:themeColor="text1"/>
          <w14:textFill>
            <w14:solidFill>
              <w14:schemeClr w14:val="tx1"/>
            </w14:solidFill>
          </w14:textFill>
        </w:rPr>
        <w:t>1.资金使用情况</w:t>
      </w:r>
      <w:bookmarkEnd w:id="15"/>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项目预算资金1</w:t>
      </w:r>
      <w:r>
        <w:rPr>
          <w:color w:val="000000" w:themeColor="text1"/>
          <w14:textFill>
            <w14:solidFill>
              <w14:schemeClr w14:val="tx1"/>
            </w14:solidFill>
          </w14:textFill>
        </w:rPr>
        <w:t>,447.99</w:t>
      </w:r>
      <w:r>
        <w:rPr>
          <w:rFonts w:hint="eastAsia"/>
          <w:color w:val="000000" w:themeColor="text1"/>
          <w14:textFill>
            <w14:solidFill>
              <w14:schemeClr w14:val="tx1"/>
            </w14:solidFill>
          </w14:textFill>
        </w:rPr>
        <w:t>万元，实际支出2</w:t>
      </w:r>
      <w:r>
        <w:rPr>
          <w:color w:val="000000" w:themeColor="text1"/>
          <w14:textFill>
            <w14:solidFill>
              <w14:schemeClr w14:val="tx1"/>
            </w14:solidFill>
          </w14:textFill>
        </w:rPr>
        <w:t>39.79</w:t>
      </w:r>
      <w:r>
        <w:rPr>
          <w:rFonts w:hint="eastAsia"/>
          <w:color w:val="000000" w:themeColor="text1"/>
          <w14:textFill>
            <w14:solidFill>
              <w14:schemeClr w14:val="tx1"/>
            </w14:solidFill>
          </w14:textFill>
        </w:rPr>
        <w:t>万元，支付率1</w:t>
      </w:r>
      <w:r>
        <w:rPr>
          <w:color w:val="000000" w:themeColor="text1"/>
          <w14:textFill>
            <w14:solidFill>
              <w14:schemeClr w14:val="tx1"/>
            </w14:solidFill>
          </w14:textFill>
        </w:rPr>
        <w:t>6.56</w:t>
      </w:r>
      <w:r>
        <w:rPr>
          <w:rFonts w:hint="eastAsia"/>
          <w:color w:val="000000" w:themeColor="text1"/>
          <w14:textFill>
            <w14:solidFill>
              <w14:schemeClr w14:val="tx1"/>
            </w14:solidFill>
          </w14:textFill>
        </w:rPr>
        <w:t>%。另于2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年1</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月2</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日申请财政直接支付9</w:t>
      </w:r>
      <w:r>
        <w:rPr>
          <w:color w:val="000000" w:themeColor="text1"/>
          <w14:textFill>
            <w14:solidFill>
              <w14:schemeClr w14:val="tx1"/>
            </w14:solidFill>
          </w14:textFill>
        </w:rPr>
        <w:t>30.07</w:t>
      </w:r>
      <w:r>
        <w:rPr>
          <w:rFonts w:hint="eastAsia"/>
          <w:color w:val="000000" w:themeColor="text1"/>
          <w14:textFill>
            <w14:solidFill>
              <w14:schemeClr w14:val="tx1"/>
            </w14:solidFill>
          </w14:textFill>
        </w:rPr>
        <w:t>万元，1</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月申请零余额账户支付2</w:t>
      </w:r>
      <w:r>
        <w:rPr>
          <w:color w:val="000000" w:themeColor="text1"/>
          <w14:textFill>
            <w14:solidFill>
              <w14:schemeClr w14:val="tx1"/>
            </w14:solidFill>
          </w14:textFill>
        </w:rPr>
        <w:t>30.82</w:t>
      </w:r>
      <w:r>
        <w:rPr>
          <w:rFonts w:hint="eastAsia"/>
          <w:color w:val="000000" w:themeColor="text1"/>
          <w14:textFill>
            <w14:solidFill>
              <w14:schemeClr w14:val="tx1"/>
            </w14:solidFill>
          </w14:textFill>
        </w:rPr>
        <w:t>万元，截至评价基准日未支出，合计申请支付金额</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400.67</w:t>
      </w:r>
      <w:r>
        <w:rPr>
          <w:rFonts w:hint="eastAsia"/>
          <w:color w:val="000000" w:themeColor="text1"/>
          <w14:textFill>
            <w14:solidFill>
              <w14:schemeClr w14:val="tx1"/>
            </w14:solidFill>
          </w14:textFill>
        </w:rPr>
        <w:t>万元。</w:t>
      </w:r>
    </w:p>
    <w:p>
      <w:pPr>
        <w:pStyle w:val="5"/>
        <w:keepNext w:val="0"/>
        <w:keepLines w:val="0"/>
        <w:pageBreakBefore w:val="0"/>
        <w:widowControl w:val="0"/>
        <w:kinsoku/>
        <w:wordWrap/>
        <w:overflowPunct/>
        <w:topLinePunct w:val="0"/>
        <w:autoSpaceDE/>
        <w:autoSpaceDN/>
        <w:bidi w:val="0"/>
        <w:adjustRightInd w:val="0"/>
        <w:spacing w:line="570" w:lineRule="exact"/>
        <w:ind w:firstLine="643"/>
        <w:textAlignment w:val="auto"/>
      </w:pPr>
      <w:bookmarkStart w:id="16" w:name="_Toc19029262"/>
      <w:r>
        <w:t>2.项目实施情况</w:t>
      </w:r>
      <w:bookmarkEnd w:id="16"/>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根据广州市下达计划任务及项目立项申报情况，广州市公安局花都区分局具体负责实施“广州市公安局花都区分局高清视频图像采集点及治安卡口系统建设采购项目”</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门禁视频管理系统建设项目</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“花都区分局智能视频立体化综合应用系统建设项目”“花都区分局第五期视频建设道路交通高清视频采集点及电子警察系统建设项目”。截至2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年1</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月3</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日，“门禁视频管理系统建设项目”“花都区分局智能视频立体化综合</w:t>
      </w:r>
      <w:bookmarkStart w:id="17" w:name="_Toc50047261"/>
      <w:r>
        <w:rPr>
          <w:rFonts w:hint="eastAsia"/>
          <w:color w:val="000000" w:themeColor="text1"/>
          <w14:textFill>
            <w14:solidFill>
              <w14:schemeClr w14:val="tx1"/>
            </w14:solidFill>
          </w14:textFill>
        </w:rPr>
        <w:t>应用系统建设项目”两个项目已完成初步验收，其余项目处在实施阶段。</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三</w:t>
      </w:r>
      <w:r>
        <w:rPr>
          <w:rFonts w:cs="Times New Roman"/>
          <w:color w:val="000000" w:themeColor="text1"/>
          <w14:textFill>
            <w14:solidFill>
              <w14:schemeClr w14:val="tx1"/>
            </w14:solidFill>
          </w14:textFill>
        </w:rPr>
        <w:t>）项目绩效目标</w:t>
      </w:r>
      <w:bookmarkEnd w:id="12"/>
      <w:bookmarkEnd w:id="13"/>
      <w:bookmarkEnd w:id="14"/>
      <w:r>
        <w:rPr>
          <w:rFonts w:hint="eastAsia" w:cs="Times New Roman"/>
          <w:color w:val="000000" w:themeColor="text1"/>
          <w14:textFill>
            <w14:solidFill>
              <w14:schemeClr w14:val="tx1"/>
            </w14:solidFill>
          </w14:textFill>
        </w:rPr>
        <w:t>及完成情况</w:t>
      </w:r>
      <w:bookmarkEnd w:id="1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根据项目年初绩效目标申报情况，项目设置绩效总目标及年度绩效目标，但总绩效指标及年度绩效指标完全一致</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合计设置绩效指标9个，其中截至评价基准日已完成4个，完成率</w:t>
      </w:r>
      <w:r>
        <w:rPr>
          <w:color w:val="000000" w:themeColor="text1"/>
          <w14:textFill>
            <w14:solidFill>
              <w14:schemeClr w14:val="tx1"/>
            </w14:solidFill>
          </w14:textFill>
        </w:rPr>
        <w:t>44.44</w:t>
      </w:r>
      <w:r>
        <w:rPr>
          <w:rFonts w:hint="eastAsia"/>
          <w:color w:val="000000" w:themeColor="text1"/>
          <w14:textFill>
            <w14:solidFill>
              <w14:schemeClr w14:val="tx1"/>
            </w14:solidFill>
          </w14:textFill>
        </w:rPr>
        <w:t>%。</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color w:val="000000" w:themeColor="text1"/>
          <w14:textFill>
            <w14:solidFill>
              <w14:schemeClr w14:val="tx1"/>
            </w14:solidFill>
          </w14:textFill>
        </w:rPr>
      </w:pPr>
      <w:bookmarkStart w:id="18" w:name="_Toc19050206"/>
      <w:bookmarkStart w:id="19" w:name="_Toc16507576"/>
      <w:bookmarkStart w:id="20" w:name="_Toc50047268"/>
      <w:bookmarkStart w:id="21" w:name="_Toc19029277"/>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四</w:t>
      </w:r>
      <w:r>
        <w:rPr>
          <w:rFonts w:cs="Times New Roman"/>
          <w:color w:val="000000" w:themeColor="text1"/>
          <w14:textFill>
            <w14:solidFill>
              <w14:schemeClr w14:val="tx1"/>
            </w14:solidFill>
          </w14:textFill>
        </w:rPr>
        <w:t>）评价结果</w:t>
      </w:r>
      <w:bookmarkEnd w:id="18"/>
      <w:bookmarkEnd w:id="19"/>
      <w:bookmarkEnd w:id="20"/>
      <w:bookmarkEnd w:id="21"/>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本次评价采用成本效益分析法、目标结果比较法、因素分析法、公众评判法、穿行测试法等方法，围绕项目安排、管理、绩效、可持续性等方面实施评价，项目绩效评价等级为“良”。</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22" w:name="_Toc16507578"/>
      <w:bookmarkStart w:id="23" w:name="_Toc19050208"/>
      <w:bookmarkStart w:id="24" w:name="_Toc50047270"/>
      <w:bookmarkStart w:id="25" w:name="_Toc19029283"/>
      <w:r>
        <w:rPr>
          <w:rFonts w:hint="eastAsia"/>
          <w:color w:val="000000" w:themeColor="text1"/>
          <w14:textFill>
            <w14:solidFill>
              <w14:schemeClr w14:val="tx1"/>
            </w14:solidFill>
          </w14:textFill>
        </w:rPr>
        <w:t>二</w:t>
      </w:r>
      <w:r>
        <w:rPr>
          <w:color w:val="000000" w:themeColor="text1"/>
          <w14:textFill>
            <w14:solidFill>
              <w14:schemeClr w14:val="tx1"/>
            </w14:solidFill>
          </w14:textFill>
        </w:rPr>
        <w:t>、主要绩效</w:t>
      </w:r>
      <w:bookmarkEnd w:id="22"/>
      <w:bookmarkEnd w:id="23"/>
      <w:bookmarkEnd w:id="24"/>
      <w:bookmarkEnd w:id="25"/>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26" w:name="_Toc50047271"/>
      <w:r>
        <w:rPr>
          <w:rFonts w:hint="eastAsia"/>
          <w:color w:val="000000" w:themeColor="text1"/>
          <w14:textFill>
            <w14:solidFill>
              <w14:schemeClr w14:val="tx1"/>
            </w14:solidFill>
          </w14:textFill>
        </w:rPr>
        <w:t>（一）加强治安防控，提升社会治理能力</w:t>
      </w:r>
      <w:bookmarkEnd w:id="26"/>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color w:val="000000" w:themeColor="text1"/>
          <w14:textFill>
            <w14:solidFill>
              <w14:schemeClr w14:val="tx1"/>
            </w14:solidFill>
          </w14:textFill>
        </w:rPr>
        <w:t>2019</w:t>
      </w:r>
      <w:r>
        <w:rPr>
          <w:rFonts w:hint="eastAsia"/>
          <w:color w:val="000000" w:themeColor="text1"/>
          <w14:textFill>
            <w14:solidFill>
              <w14:schemeClr w14:val="tx1"/>
            </w14:solidFill>
          </w14:textFill>
        </w:rPr>
        <w:t>年区第五期视频建设工作接入视频云平台的监控数量为1</w:t>
      </w:r>
      <w:r>
        <w:rPr>
          <w:color w:val="000000" w:themeColor="text1"/>
          <w14:textFill>
            <w14:solidFill>
              <w14:schemeClr w14:val="tx1"/>
            </w14:solidFill>
          </w14:textFill>
        </w:rPr>
        <w:t>,41</w:t>
      </w:r>
      <w:r>
        <w:rPr>
          <w:rFonts w:hint="eastAsia"/>
          <w:color w:val="000000" w:themeColor="text1"/>
          <w14:textFill>
            <w14:solidFill>
              <w14:schemeClr w14:val="tx1"/>
            </w14:solidFill>
          </w14:textFill>
        </w:rPr>
        <w:t>0路。依据广州市视频运维管理平台的数据，目前花都区第五期视频建设中的视频图像完好率</w:t>
      </w:r>
      <w:r>
        <w:rPr>
          <w:color w:val="000000" w:themeColor="text1"/>
          <w14:textFill>
            <w14:solidFill>
              <w14:schemeClr w14:val="tx1"/>
            </w14:solidFill>
          </w14:textFill>
        </w:rPr>
        <w:t>97.67</w:t>
      </w:r>
      <w:r>
        <w:rPr>
          <w:rFonts w:hint="eastAsia"/>
          <w:color w:val="000000" w:themeColor="text1"/>
          <w14:textFill>
            <w14:solidFill>
              <w14:schemeClr w14:val="tx1"/>
            </w14:solidFill>
          </w14:textFill>
        </w:rPr>
        <w:t>%。实现运用视频系统破案率7</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%，交通事故死亡人数下降率</w:t>
      </w:r>
      <w:r>
        <w:rPr>
          <w:color w:val="000000" w:themeColor="text1"/>
          <w14:textFill>
            <w14:solidFill>
              <w14:schemeClr w14:val="tx1"/>
            </w14:solidFill>
          </w14:textFill>
        </w:rPr>
        <w:t>5.75</w:t>
      </w:r>
      <w:r>
        <w:rPr>
          <w:rFonts w:hint="eastAsia"/>
          <w:color w:val="000000" w:themeColor="text1"/>
          <w14:textFill>
            <w14:solidFill>
              <w14:schemeClr w14:val="tx1"/>
            </w14:solidFill>
          </w14:textFill>
        </w:rPr>
        <w:t>%。有效地服务于城市管理，提升社会治理能力。</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27" w:name="_Toc50047272"/>
      <w:r>
        <w:rPr>
          <w:rFonts w:hint="eastAsia"/>
          <w:color w:val="000000" w:themeColor="text1"/>
          <w14:textFill>
            <w14:solidFill>
              <w14:schemeClr w14:val="tx1"/>
            </w14:solidFill>
          </w14:textFill>
        </w:rPr>
        <w:t>（二）降低运营维护成本，提高财政资金利用率</w:t>
      </w:r>
      <w:bookmarkEnd w:id="2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项目主体建设采用租赁的方式能够有效地节约成本。同时采用服务外包的形式，由运维公司提供专业服务，能够有效地节约人力资源成本，提高运维效率。</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28" w:name="_Toc16507582"/>
      <w:bookmarkStart w:id="29" w:name="_Toc50047273"/>
      <w:bookmarkStart w:id="30" w:name="_Toc19029287"/>
      <w:bookmarkStart w:id="31" w:name="_Toc19050212"/>
      <w:r>
        <w:rPr>
          <w:rFonts w:hint="eastAsia"/>
          <w:color w:val="000000" w:themeColor="text1"/>
          <w14:textFill>
            <w14:solidFill>
              <w14:schemeClr w14:val="tx1"/>
            </w14:solidFill>
          </w14:textFill>
        </w:rPr>
        <w:t>三</w:t>
      </w:r>
      <w:r>
        <w:rPr>
          <w:color w:val="000000" w:themeColor="text1"/>
          <w14:textFill>
            <w14:solidFill>
              <w14:schemeClr w14:val="tx1"/>
            </w14:solidFill>
          </w14:textFill>
        </w:rPr>
        <w:t>、存在问题</w:t>
      </w:r>
      <w:bookmarkEnd w:id="28"/>
      <w:bookmarkEnd w:id="29"/>
      <w:bookmarkEnd w:id="30"/>
      <w:bookmarkEnd w:id="31"/>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32" w:name="_Toc50047274"/>
      <w:r>
        <w:rPr>
          <w:rFonts w:hint="eastAsia"/>
          <w:color w:val="000000" w:themeColor="text1"/>
          <w14:textFill>
            <w14:solidFill>
              <w14:schemeClr w14:val="tx1"/>
            </w14:solidFill>
          </w14:textFill>
        </w:rPr>
        <w:t>（一）项目前期工作存在部分瑕疵，影响项目实施效率</w:t>
      </w:r>
      <w:bookmarkEnd w:id="32"/>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color w:val="000000" w:themeColor="text1"/>
          <w14:textFill>
            <w14:solidFill>
              <w14:schemeClr w14:val="tx1"/>
            </w14:solidFill>
          </w14:textFill>
        </w:rPr>
      </w:pPr>
      <w:r>
        <w:rPr>
          <w:rFonts w:hint="eastAsia"/>
          <w:color w:val="000000" w:themeColor="text1"/>
          <w14:textFill>
            <w14:solidFill>
              <w14:schemeClr w14:val="tx1"/>
            </w14:solidFill>
          </w14:textFill>
        </w:rPr>
        <w:t>项目前期规划科学、可行，但在项目具体实施过程中，部分前期工作的进行存在瑕疵，导致项目实施延期，影响项目实施进度。具体表现在部门之间沟通协作机制不够完善，存在部分规划选点难以落地实施的情况，影响项目施工效率。</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pPr>
      <w:bookmarkStart w:id="33" w:name="_Toc50047275"/>
      <w:r>
        <w:rPr>
          <w:rFonts w:hint="eastAsia"/>
        </w:rPr>
        <w:t>（二）项目实施过程存在延迟，未能严格按照合同工期完成项目建设工作</w:t>
      </w:r>
      <w:bookmarkEnd w:id="33"/>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项目实施存在延期现象，如广州市公安局花都区分局高清视频图像采集点及治安卡口系统建设采购项目，未能按合同工期完成项目建设工作，影响项目实施效率。</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34" w:name="_Toc50047276"/>
      <w:r>
        <w:rPr>
          <w:rFonts w:hint="eastAsia"/>
          <w:color w:val="000000" w:themeColor="text1"/>
          <w14:textFill>
            <w14:solidFill>
              <w14:schemeClr w14:val="tx1"/>
            </w14:solidFill>
          </w14:textFill>
        </w:rPr>
        <w:t>（三）财务管理规范性不足，资金支出率过低</w:t>
      </w:r>
      <w:bookmarkEnd w:id="34"/>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项目财务管理规范性不足，一是存在未能及时按合同支付的情况，导致资金支出率过低，同时未能及时申报预算调整，影响财政资金使用效益。二是资金使用与预算内容存在部分不相符情况。</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35" w:name="_Toc50047277"/>
      <w:r>
        <w:rPr>
          <w:rFonts w:hint="eastAsia"/>
          <w:color w:val="000000" w:themeColor="text1"/>
          <w14:textFill>
            <w14:solidFill>
              <w14:schemeClr w14:val="tx1"/>
            </w14:solidFill>
          </w14:textFill>
        </w:rPr>
        <w:t>（四）个别效益指标未实现预期目标，设备使用率有待提高</w:t>
      </w:r>
      <w:bookmarkEnd w:id="35"/>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部分设备尚未实现联网操作，导致部分项目效益指标未能实现预期值。部分点位难以发挥效益，导致效益指标中运用视频系统破案率、交通管理能力、应急事件指挥调度处置、城市现代化管理水平未能达到年初目标值。</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36" w:name="_Toc19029291"/>
      <w:bookmarkStart w:id="37" w:name="_Toc50047278"/>
      <w:bookmarkStart w:id="38" w:name="_Toc16507586"/>
      <w:bookmarkStart w:id="39" w:name="_Toc19050216"/>
      <w:r>
        <w:rPr>
          <w:rFonts w:hint="eastAsia"/>
          <w:color w:val="000000" w:themeColor="text1"/>
          <w14:textFill>
            <w14:solidFill>
              <w14:schemeClr w14:val="tx1"/>
            </w14:solidFill>
          </w14:textFill>
        </w:rPr>
        <w:t>四</w:t>
      </w:r>
      <w:r>
        <w:rPr>
          <w:color w:val="000000" w:themeColor="text1"/>
          <w14:textFill>
            <w14:solidFill>
              <w14:schemeClr w14:val="tx1"/>
            </w14:solidFill>
          </w14:textFill>
        </w:rPr>
        <w:t>、相关建议</w:t>
      </w:r>
      <w:bookmarkEnd w:id="36"/>
      <w:bookmarkEnd w:id="37"/>
      <w:bookmarkEnd w:id="38"/>
      <w:bookmarkEnd w:id="39"/>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40" w:name="_Toc50047279"/>
      <w:r>
        <w:rPr>
          <w:rFonts w:hint="eastAsia"/>
          <w:color w:val="000000" w:themeColor="text1"/>
          <w14:textFill>
            <w14:solidFill>
              <w14:schemeClr w14:val="tx1"/>
            </w14:solidFill>
          </w14:textFill>
        </w:rPr>
        <w:t>（一）重视多部门联动，降低其他因素对项目实施进度的影响</w:t>
      </w:r>
      <w:bookmarkEnd w:id="40"/>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建立有效的多部门联动机制，提高沟通的及时性和有效性。一是重视社会治安视频监控系统建设工作领导小组的作用，对于项目选点、道路施工、市政管网建设等可能影响到项目施工的项目及时进行沟通。二是建立有效的沟通反馈机制，对于项目选点通过公函的方式与规划、代建、电力、城管、水务等部门及时沟通。</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pPr>
      <w:bookmarkStart w:id="41" w:name="_Toc50047280"/>
      <w:r>
        <w:rPr>
          <w:rFonts w:hint="eastAsia"/>
        </w:rPr>
        <w:t>（二）加强监督核查，及时督促施工方进行整改</w:t>
      </w:r>
      <w:bookmarkEnd w:id="41"/>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加强监督核查，督促施工方严格按合同施工，加快项目实施进度。一是重视发挥监理作用。二是重视落实整改，针对监理方提出的问题及时督促施工方进行限期整改，并及时进行复查，共同推进项目正常开展和有序发展。</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42" w:name="_Toc50047281"/>
      <w:r>
        <w:rPr>
          <w:rFonts w:hint="eastAsia"/>
          <w:color w:val="000000" w:themeColor="text1"/>
          <w14:textFill>
            <w14:solidFill>
              <w14:schemeClr w14:val="tx1"/>
            </w14:solidFill>
          </w14:textFill>
        </w:rPr>
        <w:t>（三）规范财务管理，提高资金使用效益</w:t>
      </w:r>
      <w:bookmarkEnd w:id="42"/>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r>
        <w:rPr>
          <w:rFonts w:hint="eastAsia"/>
          <w:bCs/>
          <w:color w:val="000000" w:themeColor="text1"/>
          <w14:textFill>
            <w14:solidFill>
              <w14:schemeClr w14:val="tx1"/>
            </w14:solidFill>
          </w14:textFill>
        </w:rPr>
        <w:t>一是</w:t>
      </w:r>
      <w:r>
        <w:rPr>
          <w:rFonts w:hint="eastAsia"/>
          <w:color w:val="000000" w:themeColor="text1"/>
          <w14:textFill>
            <w14:solidFill>
              <w14:schemeClr w14:val="tx1"/>
            </w14:solidFill>
          </w14:textFill>
        </w:rPr>
        <w:t>加强财务和业务部门的沟通，增加风险防范措施，避免项目实施过程中出现实际资金支出与财务明细不符等问题。</w:t>
      </w:r>
      <w:r>
        <w:rPr>
          <w:rFonts w:hint="eastAsia"/>
          <w:bCs/>
          <w:color w:val="000000" w:themeColor="text1"/>
          <w14:textFill>
            <w14:solidFill>
              <w14:schemeClr w14:val="tx1"/>
            </w14:solidFill>
          </w14:textFill>
        </w:rPr>
        <w:t>二是</w:t>
      </w:r>
      <w:r>
        <w:rPr>
          <w:rFonts w:hint="eastAsia"/>
          <w:color w:val="000000" w:themeColor="text1"/>
          <w14:textFill>
            <w14:solidFill>
              <w14:schemeClr w14:val="tx1"/>
            </w14:solidFill>
          </w14:textFill>
        </w:rPr>
        <w:t>加大资金监管力度，落实项目资金使用情况，根据财政资金管理的相关要求，进一步完善财务管理制度。</w:t>
      </w:r>
      <w:r>
        <w:rPr>
          <w:rFonts w:hint="eastAsia"/>
          <w:bCs/>
          <w:color w:val="000000" w:themeColor="text1"/>
          <w14:textFill>
            <w14:solidFill>
              <w14:schemeClr w14:val="tx1"/>
            </w14:solidFill>
          </w14:textFill>
        </w:rPr>
        <w:t>三是</w:t>
      </w:r>
      <w:r>
        <w:rPr>
          <w:rFonts w:hint="eastAsia"/>
          <w:color w:val="000000" w:themeColor="text1"/>
          <w14:textFill>
            <w14:solidFill>
              <w14:schemeClr w14:val="tx1"/>
            </w14:solidFill>
          </w14:textFill>
        </w:rPr>
        <w:t>加强单位自查。</w:t>
      </w:r>
    </w:p>
    <w:p>
      <w:pPr>
        <w:pStyle w:val="4"/>
        <w:keepNext w:val="0"/>
        <w:keepLines w:val="0"/>
        <w:pageBreakBefore w:val="0"/>
        <w:widowControl w:val="0"/>
        <w:kinsoku/>
        <w:wordWrap/>
        <w:overflowPunct/>
        <w:topLinePunct w:val="0"/>
        <w:autoSpaceDE/>
        <w:autoSpaceDN/>
        <w:bidi w:val="0"/>
        <w:adjustRightInd w:val="0"/>
        <w:spacing w:line="570" w:lineRule="exact"/>
        <w:ind w:firstLine="640"/>
        <w:textAlignment w:val="auto"/>
        <w:rPr>
          <w:color w:val="000000" w:themeColor="text1"/>
          <w14:textFill>
            <w14:solidFill>
              <w14:schemeClr w14:val="tx1"/>
            </w14:solidFill>
          </w14:textFill>
        </w:rPr>
      </w:pPr>
      <w:bookmarkStart w:id="43" w:name="_Toc50047282"/>
      <w:r>
        <w:rPr>
          <w:rFonts w:hint="eastAsia"/>
          <w:color w:val="000000" w:themeColor="text1"/>
          <w14:textFill>
            <w14:solidFill>
              <w14:schemeClr w14:val="tx1"/>
            </w14:solidFill>
          </w14:textFill>
        </w:rPr>
        <w:t>（四）落实运维期间管理工作，提高设备利用率</w:t>
      </w:r>
      <w:bookmarkEnd w:id="43"/>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hint="eastAsia"/>
          <w:color w:val="000000" w:themeColor="text1"/>
          <w14:textFill>
            <w14:solidFill>
              <w14:schemeClr w14:val="tx1"/>
            </w14:solidFill>
          </w14:textFill>
        </w:rPr>
      </w:pPr>
      <w:r>
        <w:rPr>
          <w:rFonts w:hint="eastAsia"/>
          <w:bCs/>
          <w:color w:val="000000" w:themeColor="text1"/>
          <w14:textFill>
            <w14:solidFill>
              <w14:schemeClr w14:val="tx1"/>
            </w14:solidFill>
          </w14:textFill>
        </w:rPr>
        <w:t>一是</w:t>
      </w:r>
      <w:r>
        <w:rPr>
          <w:color w:val="000000" w:themeColor="text1"/>
          <w14:textFill>
            <w14:solidFill>
              <w14:schemeClr w14:val="tx1"/>
            </w14:solidFill>
          </w14:textFill>
        </w:rPr>
        <w:t>注重后续管理工作，提高项目实施成效。</w:t>
      </w:r>
      <w:r>
        <w:rPr>
          <w:rFonts w:hint="eastAsia"/>
          <w:bCs/>
          <w:color w:val="000000" w:themeColor="text1"/>
          <w14:textFill>
            <w14:solidFill>
              <w14:schemeClr w14:val="tx1"/>
            </w14:solidFill>
          </w14:textFill>
        </w:rPr>
        <w:t>二是</w:t>
      </w:r>
      <w:r>
        <w:rPr>
          <w:rFonts w:hint="eastAsia"/>
          <w:color w:val="000000" w:themeColor="text1"/>
          <w14:textFill>
            <w14:solidFill>
              <w14:schemeClr w14:val="tx1"/>
            </w14:solidFill>
          </w14:textFill>
        </w:rPr>
        <w:t>对于已建设完成项目，及时申报</w:t>
      </w:r>
      <w:bookmarkStart w:id="44" w:name="_GoBack"/>
      <w:bookmarkEnd w:id="44"/>
      <w:r>
        <w:rPr>
          <w:rFonts w:hint="eastAsia"/>
          <w:color w:val="000000" w:themeColor="text1"/>
          <w14:textFill>
            <w14:solidFill>
              <w14:schemeClr w14:val="tx1"/>
            </w14:solidFill>
          </w14:textFill>
        </w:rPr>
        <w:t>验收，提高视频接入率，提高设备使用效益。</w:t>
      </w:r>
    </w:p>
    <w:p>
      <w:pPr>
        <w:ind w:left="0" w:leftChars="0" w:firstLine="0" w:firstLineChars="0"/>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default"/>
          <w:lang w:val="en-US" w:eastAsia="zh-CN"/>
        </w:rPr>
      </w:pPr>
    </w:p>
    <w:sectPr>
      <w:headerReference r:id="rId5" w:type="default"/>
      <w:footerReference r:id="rId6" w:type="default"/>
      <w:pgSz w:w="11906" w:h="16838"/>
      <w:pgMar w:top="1531" w:right="1985" w:bottom="1588" w:left="2098" w:header="851" w:footer="992" w:gutter="0"/>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262576276"/>
    </w:sdtPr>
    <w:sdtEndPr>
      <w:rPr>
        <w:rFonts w:ascii="Times New Roman" w:hAnsi="Times New Roman" w:cs="Times New Roman"/>
        <w:sz w:val="24"/>
        <w:szCs w:val="24"/>
      </w:rPr>
    </w:sdtEndPr>
    <w:sdtContent>
      <w:p>
        <w:pPr>
          <w:pStyle w:val="11"/>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397"/>
    <w:rsid w:val="0000120D"/>
    <w:rsid w:val="0000504F"/>
    <w:rsid w:val="00022803"/>
    <w:rsid w:val="00023091"/>
    <w:rsid w:val="00024BBA"/>
    <w:rsid w:val="00031D3A"/>
    <w:rsid w:val="00032B8C"/>
    <w:rsid w:val="000440A3"/>
    <w:rsid w:val="00054920"/>
    <w:rsid w:val="000552EC"/>
    <w:rsid w:val="00055968"/>
    <w:rsid w:val="00060312"/>
    <w:rsid w:val="00060A52"/>
    <w:rsid w:val="00082864"/>
    <w:rsid w:val="00082B32"/>
    <w:rsid w:val="00095A1B"/>
    <w:rsid w:val="000A2118"/>
    <w:rsid w:val="000A354A"/>
    <w:rsid w:val="000A55D9"/>
    <w:rsid w:val="000A588B"/>
    <w:rsid w:val="000B0CAA"/>
    <w:rsid w:val="000C3A0F"/>
    <w:rsid w:val="000C6EB1"/>
    <w:rsid w:val="000D12CD"/>
    <w:rsid w:val="000D6ADF"/>
    <w:rsid w:val="000E1E34"/>
    <w:rsid w:val="000E7309"/>
    <w:rsid w:val="000F469F"/>
    <w:rsid w:val="001032BB"/>
    <w:rsid w:val="00105A1E"/>
    <w:rsid w:val="0011405C"/>
    <w:rsid w:val="00115EFD"/>
    <w:rsid w:val="0012334C"/>
    <w:rsid w:val="00124199"/>
    <w:rsid w:val="00134A90"/>
    <w:rsid w:val="00135F82"/>
    <w:rsid w:val="001437A3"/>
    <w:rsid w:val="00147650"/>
    <w:rsid w:val="001476B1"/>
    <w:rsid w:val="00150259"/>
    <w:rsid w:val="00156671"/>
    <w:rsid w:val="0016135B"/>
    <w:rsid w:val="001626F1"/>
    <w:rsid w:val="001657D7"/>
    <w:rsid w:val="00172024"/>
    <w:rsid w:val="0017374E"/>
    <w:rsid w:val="001829E1"/>
    <w:rsid w:val="001829EE"/>
    <w:rsid w:val="00182ACC"/>
    <w:rsid w:val="00184F28"/>
    <w:rsid w:val="001A446A"/>
    <w:rsid w:val="001B1D4E"/>
    <w:rsid w:val="001D519F"/>
    <w:rsid w:val="001D7AB2"/>
    <w:rsid w:val="001E2C45"/>
    <w:rsid w:val="00212F01"/>
    <w:rsid w:val="002217CB"/>
    <w:rsid w:val="00222D6E"/>
    <w:rsid w:val="002318CF"/>
    <w:rsid w:val="002338BD"/>
    <w:rsid w:val="00234A03"/>
    <w:rsid w:val="00237882"/>
    <w:rsid w:val="0024250F"/>
    <w:rsid w:val="00242FDB"/>
    <w:rsid w:val="0024436C"/>
    <w:rsid w:val="0024721C"/>
    <w:rsid w:val="00270C99"/>
    <w:rsid w:val="00277A84"/>
    <w:rsid w:val="00281D92"/>
    <w:rsid w:val="00284A66"/>
    <w:rsid w:val="00285338"/>
    <w:rsid w:val="0028738D"/>
    <w:rsid w:val="0029750C"/>
    <w:rsid w:val="002A4550"/>
    <w:rsid w:val="002A5D34"/>
    <w:rsid w:val="002C03BF"/>
    <w:rsid w:val="002C04EF"/>
    <w:rsid w:val="002C6261"/>
    <w:rsid w:val="002D0DBD"/>
    <w:rsid w:val="002D1CF1"/>
    <w:rsid w:val="002F501C"/>
    <w:rsid w:val="002F760A"/>
    <w:rsid w:val="00302080"/>
    <w:rsid w:val="00310DB1"/>
    <w:rsid w:val="003163B6"/>
    <w:rsid w:val="003269AA"/>
    <w:rsid w:val="00332A57"/>
    <w:rsid w:val="00345875"/>
    <w:rsid w:val="00352F39"/>
    <w:rsid w:val="00354C0F"/>
    <w:rsid w:val="0036784D"/>
    <w:rsid w:val="00370455"/>
    <w:rsid w:val="00370B68"/>
    <w:rsid w:val="0037553D"/>
    <w:rsid w:val="00376C97"/>
    <w:rsid w:val="00382A23"/>
    <w:rsid w:val="003846CA"/>
    <w:rsid w:val="00384ACF"/>
    <w:rsid w:val="003A33FA"/>
    <w:rsid w:val="003B22BA"/>
    <w:rsid w:val="003B50B3"/>
    <w:rsid w:val="003B69FE"/>
    <w:rsid w:val="003C4A7C"/>
    <w:rsid w:val="003D0656"/>
    <w:rsid w:val="003D1744"/>
    <w:rsid w:val="003D2647"/>
    <w:rsid w:val="003F7A58"/>
    <w:rsid w:val="00400ECA"/>
    <w:rsid w:val="004028B1"/>
    <w:rsid w:val="00402D9F"/>
    <w:rsid w:val="004033C6"/>
    <w:rsid w:val="004137F4"/>
    <w:rsid w:val="00421643"/>
    <w:rsid w:val="004268DA"/>
    <w:rsid w:val="004326C1"/>
    <w:rsid w:val="0045117E"/>
    <w:rsid w:val="004514D6"/>
    <w:rsid w:val="0046105A"/>
    <w:rsid w:val="004660C3"/>
    <w:rsid w:val="004662A4"/>
    <w:rsid w:val="00467E26"/>
    <w:rsid w:val="00476764"/>
    <w:rsid w:val="0047785C"/>
    <w:rsid w:val="00480208"/>
    <w:rsid w:val="00480B8E"/>
    <w:rsid w:val="0048104E"/>
    <w:rsid w:val="004816CB"/>
    <w:rsid w:val="00493EDF"/>
    <w:rsid w:val="004A0B04"/>
    <w:rsid w:val="004A43A3"/>
    <w:rsid w:val="004B42EF"/>
    <w:rsid w:val="004B78B8"/>
    <w:rsid w:val="004D02DC"/>
    <w:rsid w:val="004D338C"/>
    <w:rsid w:val="004D6885"/>
    <w:rsid w:val="004E48F8"/>
    <w:rsid w:val="004E7BFA"/>
    <w:rsid w:val="004F0540"/>
    <w:rsid w:val="004F496C"/>
    <w:rsid w:val="005005E1"/>
    <w:rsid w:val="0050357B"/>
    <w:rsid w:val="005137E7"/>
    <w:rsid w:val="0051395E"/>
    <w:rsid w:val="005303F3"/>
    <w:rsid w:val="00531292"/>
    <w:rsid w:val="0053562A"/>
    <w:rsid w:val="005368BB"/>
    <w:rsid w:val="00540AB9"/>
    <w:rsid w:val="0054407B"/>
    <w:rsid w:val="00545672"/>
    <w:rsid w:val="00547D4F"/>
    <w:rsid w:val="0055375F"/>
    <w:rsid w:val="00556BCD"/>
    <w:rsid w:val="00565CD3"/>
    <w:rsid w:val="005677CB"/>
    <w:rsid w:val="005833AD"/>
    <w:rsid w:val="005914A7"/>
    <w:rsid w:val="00596D83"/>
    <w:rsid w:val="005A19F8"/>
    <w:rsid w:val="005A55C3"/>
    <w:rsid w:val="005A7371"/>
    <w:rsid w:val="005A759D"/>
    <w:rsid w:val="005B4EE2"/>
    <w:rsid w:val="005B5B24"/>
    <w:rsid w:val="005C744A"/>
    <w:rsid w:val="005D056D"/>
    <w:rsid w:val="005D66D8"/>
    <w:rsid w:val="005E0DE9"/>
    <w:rsid w:val="005E355B"/>
    <w:rsid w:val="005E43EA"/>
    <w:rsid w:val="005E546D"/>
    <w:rsid w:val="005E557B"/>
    <w:rsid w:val="005F2DD5"/>
    <w:rsid w:val="005F33AC"/>
    <w:rsid w:val="005F7FB5"/>
    <w:rsid w:val="00603071"/>
    <w:rsid w:val="0060334D"/>
    <w:rsid w:val="006129F3"/>
    <w:rsid w:val="00623BD4"/>
    <w:rsid w:val="00630395"/>
    <w:rsid w:val="006318C4"/>
    <w:rsid w:val="00635611"/>
    <w:rsid w:val="006406E7"/>
    <w:rsid w:val="006415B2"/>
    <w:rsid w:val="00642820"/>
    <w:rsid w:val="006428BC"/>
    <w:rsid w:val="00660603"/>
    <w:rsid w:val="00665558"/>
    <w:rsid w:val="00666056"/>
    <w:rsid w:val="00671AF7"/>
    <w:rsid w:val="00683696"/>
    <w:rsid w:val="00686F66"/>
    <w:rsid w:val="0069652A"/>
    <w:rsid w:val="006B52F4"/>
    <w:rsid w:val="006C3AE6"/>
    <w:rsid w:val="006D4CAC"/>
    <w:rsid w:val="006E4A2F"/>
    <w:rsid w:val="006E649B"/>
    <w:rsid w:val="006F4778"/>
    <w:rsid w:val="006F6D82"/>
    <w:rsid w:val="00700E82"/>
    <w:rsid w:val="00706F0A"/>
    <w:rsid w:val="0071241A"/>
    <w:rsid w:val="00723C51"/>
    <w:rsid w:val="00723F2D"/>
    <w:rsid w:val="00733213"/>
    <w:rsid w:val="00733E34"/>
    <w:rsid w:val="00743A54"/>
    <w:rsid w:val="00753D8E"/>
    <w:rsid w:val="007615CA"/>
    <w:rsid w:val="00761FCE"/>
    <w:rsid w:val="00764F44"/>
    <w:rsid w:val="007665B5"/>
    <w:rsid w:val="00774D3C"/>
    <w:rsid w:val="00775D15"/>
    <w:rsid w:val="0078587A"/>
    <w:rsid w:val="00791413"/>
    <w:rsid w:val="007914EF"/>
    <w:rsid w:val="007A4ED4"/>
    <w:rsid w:val="007A663A"/>
    <w:rsid w:val="007A7DAD"/>
    <w:rsid w:val="007B01FC"/>
    <w:rsid w:val="007B3780"/>
    <w:rsid w:val="007B551D"/>
    <w:rsid w:val="007B6254"/>
    <w:rsid w:val="007C112F"/>
    <w:rsid w:val="007C62C5"/>
    <w:rsid w:val="007D00AF"/>
    <w:rsid w:val="007D1C1A"/>
    <w:rsid w:val="007D3116"/>
    <w:rsid w:val="007D4DDC"/>
    <w:rsid w:val="007D56CF"/>
    <w:rsid w:val="007E175C"/>
    <w:rsid w:val="007F0C55"/>
    <w:rsid w:val="007F2AC2"/>
    <w:rsid w:val="007F538D"/>
    <w:rsid w:val="0080234D"/>
    <w:rsid w:val="00804AFA"/>
    <w:rsid w:val="008122D2"/>
    <w:rsid w:val="008171C8"/>
    <w:rsid w:val="00826B1F"/>
    <w:rsid w:val="00833ECD"/>
    <w:rsid w:val="00834F5E"/>
    <w:rsid w:val="00837753"/>
    <w:rsid w:val="00841F22"/>
    <w:rsid w:val="00842665"/>
    <w:rsid w:val="00845C1D"/>
    <w:rsid w:val="008509EF"/>
    <w:rsid w:val="00855547"/>
    <w:rsid w:val="00857314"/>
    <w:rsid w:val="00862921"/>
    <w:rsid w:val="00865CCC"/>
    <w:rsid w:val="00865E9F"/>
    <w:rsid w:val="00866D4F"/>
    <w:rsid w:val="00870F6B"/>
    <w:rsid w:val="008758F9"/>
    <w:rsid w:val="008800EC"/>
    <w:rsid w:val="008937CF"/>
    <w:rsid w:val="008946F4"/>
    <w:rsid w:val="008A0DE0"/>
    <w:rsid w:val="008A1AE9"/>
    <w:rsid w:val="008A5E43"/>
    <w:rsid w:val="008C08D1"/>
    <w:rsid w:val="008D2C0C"/>
    <w:rsid w:val="008D62C0"/>
    <w:rsid w:val="008E6689"/>
    <w:rsid w:val="008E7EB0"/>
    <w:rsid w:val="008F7D44"/>
    <w:rsid w:val="00900C6D"/>
    <w:rsid w:val="00906AA6"/>
    <w:rsid w:val="00911898"/>
    <w:rsid w:val="00914848"/>
    <w:rsid w:val="00921436"/>
    <w:rsid w:val="00925C9C"/>
    <w:rsid w:val="009301B8"/>
    <w:rsid w:val="00930309"/>
    <w:rsid w:val="00936F87"/>
    <w:rsid w:val="009402EE"/>
    <w:rsid w:val="009428DB"/>
    <w:rsid w:val="009461E1"/>
    <w:rsid w:val="00955CAF"/>
    <w:rsid w:val="00961913"/>
    <w:rsid w:val="00962B49"/>
    <w:rsid w:val="009746E3"/>
    <w:rsid w:val="009747BD"/>
    <w:rsid w:val="00975095"/>
    <w:rsid w:val="009820F6"/>
    <w:rsid w:val="00982290"/>
    <w:rsid w:val="00987283"/>
    <w:rsid w:val="009964C2"/>
    <w:rsid w:val="009B098C"/>
    <w:rsid w:val="009B1EF0"/>
    <w:rsid w:val="009B303A"/>
    <w:rsid w:val="009C540F"/>
    <w:rsid w:val="009C6505"/>
    <w:rsid w:val="009C6E35"/>
    <w:rsid w:val="009C6F6C"/>
    <w:rsid w:val="009C7397"/>
    <w:rsid w:val="009D0BAC"/>
    <w:rsid w:val="009D5D1C"/>
    <w:rsid w:val="009D644F"/>
    <w:rsid w:val="009D6B25"/>
    <w:rsid w:val="009E4986"/>
    <w:rsid w:val="009E5C36"/>
    <w:rsid w:val="00A07AC0"/>
    <w:rsid w:val="00A13915"/>
    <w:rsid w:val="00A23C68"/>
    <w:rsid w:val="00A31187"/>
    <w:rsid w:val="00A359FC"/>
    <w:rsid w:val="00A37195"/>
    <w:rsid w:val="00A40FDF"/>
    <w:rsid w:val="00A45E8A"/>
    <w:rsid w:val="00A4614F"/>
    <w:rsid w:val="00A53C45"/>
    <w:rsid w:val="00A5553C"/>
    <w:rsid w:val="00A55A3F"/>
    <w:rsid w:val="00A56AA1"/>
    <w:rsid w:val="00A646EE"/>
    <w:rsid w:val="00A6676F"/>
    <w:rsid w:val="00A70DBF"/>
    <w:rsid w:val="00A75A26"/>
    <w:rsid w:val="00AA0B3A"/>
    <w:rsid w:val="00AA3281"/>
    <w:rsid w:val="00AB0D78"/>
    <w:rsid w:val="00AB1428"/>
    <w:rsid w:val="00AB5FBA"/>
    <w:rsid w:val="00AC21CE"/>
    <w:rsid w:val="00AD48F3"/>
    <w:rsid w:val="00AE1211"/>
    <w:rsid w:val="00AE6C51"/>
    <w:rsid w:val="00AF163A"/>
    <w:rsid w:val="00B03EFA"/>
    <w:rsid w:val="00B14E4E"/>
    <w:rsid w:val="00B32B15"/>
    <w:rsid w:val="00B366F3"/>
    <w:rsid w:val="00B50559"/>
    <w:rsid w:val="00B5237C"/>
    <w:rsid w:val="00B53EA2"/>
    <w:rsid w:val="00B53F90"/>
    <w:rsid w:val="00B57C74"/>
    <w:rsid w:val="00B64160"/>
    <w:rsid w:val="00B81A24"/>
    <w:rsid w:val="00B83A61"/>
    <w:rsid w:val="00B86EEC"/>
    <w:rsid w:val="00BA49A6"/>
    <w:rsid w:val="00BB1861"/>
    <w:rsid w:val="00BC10C7"/>
    <w:rsid w:val="00BC1D95"/>
    <w:rsid w:val="00BC7171"/>
    <w:rsid w:val="00BD3898"/>
    <w:rsid w:val="00BD65B8"/>
    <w:rsid w:val="00BF2370"/>
    <w:rsid w:val="00BF2BE6"/>
    <w:rsid w:val="00BF2D0B"/>
    <w:rsid w:val="00BF4F29"/>
    <w:rsid w:val="00BF72FF"/>
    <w:rsid w:val="00C006EE"/>
    <w:rsid w:val="00C143B6"/>
    <w:rsid w:val="00C27D16"/>
    <w:rsid w:val="00C321D8"/>
    <w:rsid w:val="00C55BEB"/>
    <w:rsid w:val="00C76032"/>
    <w:rsid w:val="00C774D8"/>
    <w:rsid w:val="00C81BA3"/>
    <w:rsid w:val="00C8284B"/>
    <w:rsid w:val="00C96052"/>
    <w:rsid w:val="00CA23A2"/>
    <w:rsid w:val="00CA4F02"/>
    <w:rsid w:val="00CA656C"/>
    <w:rsid w:val="00CC008C"/>
    <w:rsid w:val="00CC1771"/>
    <w:rsid w:val="00CC1DC0"/>
    <w:rsid w:val="00CD4701"/>
    <w:rsid w:val="00CD6B2E"/>
    <w:rsid w:val="00CE180A"/>
    <w:rsid w:val="00CE25C6"/>
    <w:rsid w:val="00CE5EC3"/>
    <w:rsid w:val="00CF13A8"/>
    <w:rsid w:val="00CF3E62"/>
    <w:rsid w:val="00CF400D"/>
    <w:rsid w:val="00D012C1"/>
    <w:rsid w:val="00D02F57"/>
    <w:rsid w:val="00D06615"/>
    <w:rsid w:val="00D076F0"/>
    <w:rsid w:val="00D1439A"/>
    <w:rsid w:val="00D14BCD"/>
    <w:rsid w:val="00D173E2"/>
    <w:rsid w:val="00D17C96"/>
    <w:rsid w:val="00D22002"/>
    <w:rsid w:val="00D24BDE"/>
    <w:rsid w:val="00D26416"/>
    <w:rsid w:val="00D31B74"/>
    <w:rsid w:val="00D36AFA"/>
    <w:rsid w:val="00D401B1"/>
    <w:rsid w:val="00D57639"/>
    <w:rsid w:val="00D605AC"/>
    <w:rsid w:val="00D63187"/>
    <w:rsid w:val="00D6328F"/>
    <w:rsid w:val="00D63713"/>
    <w:rsid w:val="00D63809"/>
    <w:rsid w:val="00D64422"/>
    <w:rsid w:val="00D674DB"/>
    <w:rsid w:val="00D67CC7"/>
    <w:rsid w:val="00D757F0"/>
    <w:rsid w:val="00D820E1"/>
    <w:rsid w:val="00D840AF"/>
    <w:rsid w:val="00D84245"/>
    <w:rsid w:val="00DA1EA5"/>
    <w:rsid w:val="00DA4300"/>
    <w:rsid w:val="00DA522C"/>
    <w:rsid w:val="00DA523F"/>
    <w:rsid w:val="00DA5A48"/>
    <w:rsid w:val="00DB48CB"/>
    <w:rsid w:val="00DC5025"/>
    <w:rsid w:val="00DD218D"/>
    <w:rsid w:val="00DE0EF5"/>
    <w:rsid w:val="00DE593D"/>
    <w:rsid w:val="00DF381E"/>
    <w:rsid w:val="00E0711F"/>
    <w:rsid w:val="00E073A9"/>
    <w:rsid w:val="00E15A3D"/>
    <w:rsid w:val="00E169ED"/>
    <w:rsid w:val="00E17C0C"/>
    <w:rsid w:val="00E20172"/>
    <w:rsid w:val="00E2195D"/>
    <w:rsid w:val="00E220CA"/>
    <w:rsid w:val="00E24331"/>
    <w:rsid w:val="00E379B2"/>
    <w:rsid w:val="00E42DA0"/>
    <w:rsid w:val="00E44EC6"/>
    <w:rsid w:val="00E63166"/>
    <w:rsid w:val="00E67C7C"/>
    <w:rsid w:val="00E929E8"/>
    <w:rsid w:val="00E93662"/>
    <w:rsid w:val="00E94B5D"/>
    <w:rsid w:val="00E96EA4"/>
    <w:rsid w:val="00E971FF"/>
    <w:rsid w:val="00EB51A3"/>
    <w:rsid w:val="00EB6EF9"/>
    <w:rsid w:val="00EB7103"/>
    <w:rsid w:val="00EB775D"/>
    <w:rsid w:val="00EC315A"/>
    <w:rsid w:val="00EC59F4"/>
    <w:rsid w:val="00EC6BE3"/>
    <w:rsid w:val="00EE2658"/>
    <w:rsid w:val="00EE39DE"/>
    <w:rsid w:val="00EF58FA"/>
    <w:rsid w:val="00F058D9"/>
    <w:rsid w:val="00F06898"/>
    <w:rsid w:val="00F11CFC"/>
    <w:rsid w:val="00F1545E"/>
    <w:rsid w:val="00F32F90"/>
    <w:rsid w:val="00F36404"/>
    <w:rsid w:val="00F37D70"/>
    <w:rsid w:val="00F41104"/>
    <w:rsid w:val="00F454F7"/>
    <w:rsid w:val="00F54572"/>
    <w:rsid w:val="00F55442"/>
    <w:rsid w:val="00F61D9B"/>
    <w:rsid w:val="00F6539C"/>
    <w:rsid w:val="00F70464"/>
    <w:rsid w:val="00F76979"/>
    <w:rsid w:val="00F800D4"/>
    <w:rsid w:val="00F81EAE"/>
    <w:rsid w:val="00F82E77"/>
    <w:rsid w:val="00F8623C"/>
    <w:rsid w:val="00F93E67"/>
    <w:rsid w:val="00F96CED"/>
    <w:rsid w:val="00FA0AC5"/>
    <w:rsid w:val="00FB0C78"/>
    <w:rsid w:val="00FB7F05"/>
    <w:rsid w:val="00FC1401"/>
    <w:rsid w:val="00FC3940"/>
    <w:rsid w:val="00FC5CDD"/>
    <w:rsid w:val="00FD36C9"/>
    <w:rsid w:val="00FD414D"/>
    <w:rsid w:val="00FD4C04"/>
    <w:rsid w:val="00FE183D"/>
    <w:rsid w:val="00FE28E0"/>
    <w:rsid w:val="00FE5540"/>
    <w:rsid w:val="00FE56E9"/>
    <w:rsid w:val="00FE70D0"/>
    <w:rsid w:val="00FF10A1"/>
    <w:rsid w:val="00FF180A"/>
    <w:rsid w:val="00FF3285"/>
    <w:rsid w:val="27910607"/>
    <w:rsid w:val="2B8E02E9"/>
    <w:rsid w:val="2F037F8F"/>
    <w:rsid w:val="31AD2424"/>
    <w:rsid w:val="37C46395"/>
    <w:rsid w:val="3FB8224D"/>
    <w:rsid w:val="41C94F11"/>
    <w:rsid w:val="49BE16C8"/>
    <w:rsid w:val="4AF72571"/>
    <w:rsid w:val="586D4118"/>
    <w:rsid w:val="5DDF7EE9"/>
    <w:rsid w:val="6453181A"/>
    <w:rsid w:val="65CA215C"/>
    <w:rsid w:val="6DE43367"/>
    <w:rsid w:val="6E36139A"/>
    <w:rsid w:val="73E675CD"/>
    <w:rsid w:val="75865D05"/>
    <w:rsid w:val="79841D78"/>
    <w:rsid w:val="7AFD0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23"/>
    <w:qFormat/>
    <w:uiPriority w:val="9"/>
    <w:pPr>
      <w:spacing w:line="600" w:lineRule="exact"/>
      <w:outlineLvl w:val="0"/>
    </w:pPr>
    <w:rPr>
      <w:rFonts w:eastAsia="黑体"/>
      <w:bCs/>
      <w:kern w:val="44"/>
      <w:szCs w:val="44"/>
    </w:rPr>
  </w:style>
  <w:style w:type="paragraph" w:styleId="4">
    <w:name w:val="heading 2"/>
    <w:basedOn w:val="1"/>
    <w:next w:val="1"/>
    <w:link w:val="24"/>
    <w:unhideWhenUsed/>
    <w:qFormat/>
    <w:uiPriority w:val="9"/>
    <w:pPr>
      <w:spacing w:line="600" w:lineRule="exact"/>
      <w:outlineLvl w:val="1"/>
    </w:pPr>
    <w:rPr>
      <w:rFonts w:eastAsia="楷体_GB2312" w:cstheme="majorBidi"/>
      <w:bCs/>
      <w:szCs w:val="32"/>
    </w:rPr>
  </w:style>
  <w:style w:type="paragraph" w:styleId="5">
    <w:name w:val="heading 3"/>
    <w:basedOn w:val="1"/>
    <w:next w:val="1"/>
    <w:unhideWhenUsed/>
    <w:qFormat/>
    <w:uiPriority w:val="9"/>
    <w:pPr>
      <w:outlineLvl w:val="2"/>
    </w:pPr>
    <w:rPr>
      <w:rFonts w:cs="仿宋"/>
      <w:b/>
      <w:kern w:val="0"/>
      <w:szCs w:val="32"/>
      <w:lang w:val="zh-CN" w:bidi="zh-CN"/>
    </w:rPr>
  </w:style>
  <w:style w:type="paragraph" w:styleId="6">
    <w:name w:val="heading 4"/>
    <w:basedOn w:val="1"/>
    <w:next w:val="1"/>
    <w:unhideWhenUsed/>
    <w:qFormat/>
    <w:uiPriority w:val="9"/>
    <w:pPr>
      <w:outlineLvl w:val="3"/>
    </w:p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7">
    <w:name w:val="Document Map"/>
    <w:basedOn w:val="1"/>
    <w:link w:val="31"/>
    <w:semiHidden/>
    <w:unhideWhenUsed/>
    <w:qFormat/>
    <w:uiPriority w:val="99"/>
    <w:rPr>
      <w:rFonts w:ascii="宋体"/>
      <w:sz w:val="18"/>
      <w:szCs w:val="18"/>
    </w:rPr>
  </w:style>
  <w:style w:type="paragraph" w:styleId="8">
    <w:name w:val="annotation text"/>
    <w:basedOn w:val="1"/>
    <w:link w:val="32"/>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29"/>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5"/>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spacing w:line="440" w:lineRule="exact"/>
      <w:ind w:firstLine="0" w:firstLineChars="0"/>
    </w:pPr>
    <w:rPr>
      <w:rFonts w:eastAsia="黑体"/>
      <w:bCs/>
      <w:szCs w:val="28"/>
    </w:rPr>
  </w:style>
  <w:style w:type="paragraph" w:styleId="14">
    <w:name w:val="Subtitle"/>
    <w:basedOn w:val="1"/>
    <w:next w:val="1"/>
    <w:link w:val="34"/>
    <w:qFormat/>
    <w:uiPriority w:val="11"/>
    <w:pPr>
      <w:spacing w:before="240" w:after="60" w:line="312" w:lineRule="atLeast"/>
      <w:jc w:val="center"/>
      <w:outlineLvl w:val="1"/>
    </w:pPr>
    <w:rPr>
      <w:rFonts w:eastAsia="宋体" w:asciiTheme="majorHAnsi" w:hAnsiTheme="majorHAnsi" w:cstheme="majorBidi"/>
      <w:b/>
      <w:bCs/>
      <w:kern w:val="28"/>
      <w:szCs w:val="32"/>
    </w:rPr>
  </w:style>
  <w:style w:type="paragraph" w:styleId="15">
    <w:name w:val="toc 2"/>
    <w:basedOn w:val="1"/>
    <w:next w:val="1"/>
    <w:unhideWhenUsed/>
    <w:qFormat/>
    <w:uiPriority w:val="39"/>
    <w:pPr>
      <w:spacing w:line="440" w:lineRule="exact"/>
      <w:ind w:left="100" w:leftChars="100" w:firstLine="0" w:firstLineChars="0"/>
    </w:pPr>
  </w:style>
  <w:style w:type="paragraph" w:styleId="16">
    <w:name w:val="Title"/>
    <w:basedOn w:val="1"/>
    <w:next w:val="1"/>
    <w:link w:val="37"/>
    <w:qFormat/>
    <w:uiPriority w:val="10"/>
    <w:pPr>
      <w:spacing w:before="240" w:after="60"/>
      <w:jc w:val="center"/>
      <w:outlineLvl w:val="0"/>
    </w:pPr>
    <w:rPr>
      <w:rFonts w:asciiTheme="majorHAnsi" w:hAnsiTheme="majorHAnsi" w:eastAsiaTheme="majorEastAsia" w:cstheme="majorBidi"/>
      <w:b/>
      <w:bCs/>
      <w:szCs w:val="32"/>
    </w:rPr>
  </w:style>
  <w:style w:type="paragraph" w:styleId="17">
    <w:name w:val="annotation subject"/>
    <w:basedOn w:val="8"/>
    <w:next w:val="8"/>
    <w:link w:val="33"/>
    <w:semiHidden/>
    <w:unhideWhenUsed/>
    <w:qFormat/>
    <w:uiPriority w:val="99"/>
    <w:rPr>
      <w:b/>
      <w:bCs/>
    </w:r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character" w:styleId="21">
    <w:name w:val="annotation reference"/>
    <w:basedOn w:val="19"/>
    <w:semiHidden/>
    <w:unhideWhenUsed/>
    <w:qFormat/>
    <w:uiPriority w:val="99"/>
    <w:rPr>
      <w:sz w:val="21"/>
      <w:szCs w:val="21"/>
    </w:rPr>
  </w:style>
  <w:style w:type="paragraph" w:customStyle="1" w:styleId="22">
    <w:name w:val="表格"/>
    <w:basedOn w:val="1"/>
    <w:link w:val="36"/>
    <w:qFormat/>
    <w:uiPriority w:val="0"/>
    <w:pPr>
      <w:spacing w:line="280" w:lineRule="exact"/>
      <w:ind w:firstLine="0" w:firstLineChars="0"/>
    </w:pPr>
    <w:rPr>
      <w:sz w:val="24"/>
    </w:rPr>
  </w:style>
  <w:style w:type="character" w:customStyle="1" w:styleId="23">
    <w:name w:val="标题 1 字符"/>
    <w:basedOn w:val="19"/>
    <w:link w:val="3"/>
    <w:qFormat/>
    <w:uiPriority w:val="9"/>
    <w:rPr>
      <w:rFonts w:eastAsia="黑体"/>
      <w:bCs/>
      <w:kern w:val="44"/>
      <w:sz w:val="32"/>
      <w:szCs w:val="44"/>
    </w:rPr>
  </w:style>
  <w:style w:type="character" w:customStyle="1" w:styleId="24">
    <w:name w:val="标题 2 字符"/>
    <w:basedOn w:val="19"/>
    <w:link w:val="4"/>
    <w:qFormat/>
    <w:uiPriority w:val="9"/>
    <w:rPr>
      <w:rFonts w:eastAsia="楷体_GB2312" w:cstheme="majorBidi"/>
      <w:bCs/>
      <w:kern w:val="2"/>
      <w:sz w:val="32"/>
      <w:szCs w:val="32"/>
    </w:rPr>
  </w:style>
  <w:style w:type="character" w:customStyle="1" w:styleId="25">
    <w:name w:val="页眉 字符"/>
    <w:link w:val="12"/>
    <w:qFormat/>
    <w:uiPriority w:val="99"/>
    <w:rPr>
      <w:sz w:val="18"/>
      <w:szCs w:val="18"/>
    </w:rPr>
  </w:style>
  <w:style w:type="character" w:customStyle="1" w:styleId="26">
    <w:name w:val="页脚 字符"/>
    <w:link w:val="11"/>
    <w:qFormat/>
    <w:uiPriority w:val="99"/>
    <w:rPr>
      <w:sz w:val="18"/>
      <w:szCs w:val="18"/>
    </w:rPr>
  </w:style>
  <w:style w:type="character" w:customStyle="1" w:styleId="27">
    <w:name w:val="页眉 字符1"/>
    <w:basedOn w:val="19"/>
    <w:semiHidden/>
    <w:qFormat/>
    <w:uiPriority w:val="99"/>
    <w:rPr>
      <w:rFonts w:ascii="Times New Roman" w:hAnsi="Times New Roman" w:eastAsia="宋体" w:cs="Times New Roman"/>
      <w:sz w:val="18"/>
      <w:szCs w:val="18"/>
    </w:rPr>
  </w:style>
  <w:style w:type="character" w:customStyle="1" w:styleId="28">
    <w:name w:val="页脚 字符1"/>
    <w:basedOn w:val="19"/>
    <w:semiHidden/>
    <w:qFormat/>
    <w:uiPriority w:val="99"/>
    <w:rPr>
      <w:rFonts w:ascii="Times New Roman" w:hAnsi="Times New Roman" w:eastAsia="宋体" w:cs="Times New Roman"/>
      <w:sz w:val="18"/>
      <w:szCs w:val="18"/>
    </w:rPr>
  </w:style>
  <w:style w:type="character" w:customStyle="1" w:styleId="29">
    <w:name w:val="批注框文本 字符"/>
    <w:basedOn w:val="19"/>
    <w:link w:val="10"/>
    <w:semiHidden/>
    <w:qFormat/>
    <w:uiPriority w:val="99"/>
    <w:rPr>
      <w:rFonts w:ascii="Times New Roman" w:hAnsi="Times New Roman" w:eastAsia="宋体" w:cs="Times New Roman"/>
      <w:sz w:val="18"/>
      <w:szCs w:val="18"/>
    </w:rPr>
  </w:style>
  <w:style w:type="paragraph" w:customStyle="1" w:styleId="30">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597" w:themeColor="accent1" w:themeShade="BF"/>
      <w:kern w:val="0"/>
      <w:szCs w:val="32"/>
    </w:rPr>
  </w:style>
  <w:style w:type="character" w:customStyle="1" w:styleId="31">
    <w:name w:val="文档结构图 字符"/>
    <w:basedOn w:val="19"/>
    <w:link w:val="7"/>
    <w:semiHidden/>
    <w:qFormat/>
    <w:uiPriority w:val="99"/>
    <w:rPr>
      <w:rFonts w:ascii="宋体" w:hAnsi="Times New Roman" w:eastAsia="宋体" w:cs="Times New Roman"/>
      <w:sz w:val="18"/>
      <w:szCs w:val="18"/>
    </w:rPr>
  </w:style>
  <w:style w:type="character" w:customStyle="1" w:styleId="32">
    <w:name w:val="批注文字 字符"/>
    <w:basedOn w:val="19"/>
    <w:link w:val="8"/>
    <w:semiHidden/>
    <w:qFormat/>
    <w:uiPriority w:val="99"/>
    <w:rPr>
      <w:rFonts w:ascii="Times New Roman" w:hAnsi="Times New Roman" w:eastAsia="宋体" w:cs="Times New Roman"/>
      <w:szCs w:val="24"/>
    </w:rPr>
  </w:style>
  <w:style w:type="character" w:customStyle="1" w:styleId="33">
    <w:name w:val="批注主题 字符"/>
    <w:basedOn w:val="32"/>
    <w:link w:val="17"/>
    <w:semiHidden/>
    <w:qFormat/>
    <w:uiPriority w:val="99"/>
    <w:rPr>
      <w:rFonts w:ascii="Times New Roman" w:hAnsi="Times New Roman" w:eastAsia="宋体" w:cs="Times New Roman"/>
      <w:b/>
      <w:bCs/>
      <w:szCs w:val="24"/>
    </w:rPr>
  </w:style>
  <w:style w:type="character" w:customStyle="1" w:styleId="34">
    <w:name w:val="副标题 字符"/>
    <w:basedOn w:val="19"/>
    <w:link w:val="14"/>
    <w:qFormat/>
    <w:uiPriority w:val="11"/>
    <w:rPr>
      <w:rFonts w:asciiTheme="majorHAnsi" w:hAnsiTheme="majorHAnsi" w:cstheme="majorBidi"/>
      <w:b/>
      <w:bCs/>
      <w:kern w:val="28"/>
      <w:sz w:val="32"/>
      <w:szCs w:val="32"/>
    </w:rPr>
  </w:style>
  <w:style w:type="table" w:customStyle="1" w:styleId="35">
    <w:name w:val="网格型6"/>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
    <w:name w:val="表格 字符"/>
    <w:basedOn w:val="19"/>
    <w:link w:val="22"/>
    <w:qFormat/>
    <w:uiPriority w:val="0"/>
    <w:rPr>
      <w:rFonts w:eastAsia="仿宋_GB2312"/>
      <w:kern w:val="2"/>
      <w:sz w:val="24"/>
      <w:szCs w:val="24"/>
    </w:rPr>
  </w:style>
  <w:style w:type="character" w:customStyle="1" w:styleId="37">
    <w:name w:val="标题 字符"/>
    <w:basedOn w:val="19"/>
    <w:link w:val="16"/>
    <w:qFormat/>
    <w:uiPriority w:val="10"/>
    <w:rPr>
      <w:rFonts w:asciiTheme="majorHAnsi" w:hAnsiTheme="majorHAnsi" w:eastAsiaTheme="majorEastAsia" w:cstheme="majorBidi"/>
      <w:b/>
      <w:bCs/>
      <w:kern w:val="2"/>
      <w:sz w:val="32"/>
      <w:szCs w:val="32"/>
    </w:rPr>
  </w:style>
  <w:style w:type="paragraph" w:customStyle="1" w:styleId="38">
    <w:name w:val="表题"/>
    <w:basedOn w:val="1"/>
    <w:link w:val="39"/>
    <w:qFormat/>
    <w:uiPriority w:val="0"/>
    <w:pPr>
      <w:keepNext/>
      <w:ind w:firstLine="0" w:firstLineChars="0"/>
      <w:jc w:val="center"/>
    </w:pPr>
    <w:rPr>
      <w:b/>
      <w:sz w:val="28"/>
    </w:rPr>
  </w:style>
  <w:style w:type="character" w:customStyle="1" w:styleId="39">
    <w:name w:val="表题 字符"/>
    <w:basedOn w:val="19"/>
    <w:link w:val="38"/>
    <w:qFormat/>
    <w:uiPriority w:val="0"/>
    <w:rPr>
      <w:rFonts w:eastAsia="仿宋_GB2312"/>
      <w:b/>
      <w:kern w:val="2"/>
      <w:sz w:val="28"/>
      <w:szCs w:val="24"/>
    </w:rPr>
  </w:style>
  <w:style w:type="paragraph" w:customStyle="1" w:styleId="40">
    <w:name w:val="TOC 标题2"/>
    <w:basedOn w:val="3"/>
    <w:next w:val="1"/>
    <w:unhideWhenUsed/>
    <w:qFormat/>
    <w:uiPriority w:val="39"/>
    <w:pPr>
      <w:keepNext/>
      <w:keepLines/>
      <w:widowControl/>
      <w:adjustRightInd/>
      <w:spacing w:before="240" w:line="259" w:lineRule="auto"/>
      <w:ind w:firstLine="0" w:firstLineChars="0"/>
      <w:jc w:val="left"/>
      <w:outlineLvl w:val="9"/>
    </w:pPr>
    <w:rPr>
      <w:rFonts w:asciiTheme="majorHAnsi" w:hAnsiTheme="majorHAnsi" w:eastAsiaTheme="majorEastAsia" w:cstheme="majorBidi"/>
      <w:bCs w:val="0"/>
      <w:color w:val="2F5597"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0097D-5627-4F52-A39E-DEB64598836F}">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330</Words>
  <Characters>1884</Characters>
  <Lines>15</Lines>
  <Paragraphs>4</Paragraphs>
  <TotalTime>39</TotalTime>
  <ScaleCrop>false</ScaleCrop>
  <LinksUpToDate>false</LinksUpToDate>
  <CharactersWithSpaces>2210</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2020-09-21T09:07:00Z</dcterms:created>
  <dc:creator>13502645754@163.com</dc:creator>
  <cp:lastModifiedBy>小</cp:lastModifiedBy>
  <cp:lastPrinted>2020-09-24T05:49:00Z</cp:lastPrinted>
  <dcterms:modified xsi:type="dcterms:W3CDTF">2021-04-02T09:28:25Z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505D7DB6DC854677A041A57611223FD8</vt:lpwstr>
  </property>
</Properties>
</file>