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40" w:lineRule="auto"/>
        <w:ind w:firstLine="0" w:firstLineChars="0"/>
        <w:jc w:val="center"/>
        <w:rPr>
          <w:rFonts w:eastAsia="方正小标宋简体"/>
          <w:b w:val="0"/>
          <w:bCs/>
          <w:sz w:val="44"/>
          <w:szCs w:val="44"/>
        </w:rPr>
      </w:pPr>
      <w:r>
        <w:rPr>
          <w:rFonts w:eastAsia="方正小标宋简体"/>
          <w:b w:val="0"/>
          <w:bCs/>
          <w:sz w:val="44"/>
          <w:szCs w:val="44"/>
        </w:rPr>
        <w:t>广州市花都</w:t>
      </w:r>
      <w:r>
        <w:rPr>
          <w:rFonts w:hint="eastAsia" w:eastAsia="方正小标宋简体"/>
          <w:b w:val="0"/>
          <w:bCs/>
          <w:sz w:val="44"/>
          <w:szCs w:val="44"/>
        </w:rPr>
        <w:t>区卫生健康局</w:t>
      </w:r>
    </w:p>
    <w:p>
      <w:pPr>
        <w:snapToGrid w:val="0"/>
        <w:spacing w:line="240" w:lineRule="auto"/>
        <w:ind w:firstLine="0" w:firstLineChars="0"/>
        <w:jc w:val="center"/>
        <w:rPr>
          <w:rFonts w:eastAsia="方正小标宋简体"/>
          <w:b w:val="0"/>
          <w:bCs/>
          <w:sz w:val="44"/>
          <w:szCs w:val="44"/>
        </w:rPr>
      </w:pPr>
      <w:r>
        <w:rPr>
          <w:rFonts w:hint="eastAsia" w:eastAsia="方正小标宋简体"/>
          <w:b w:val="0"/>
          <w:bCs/>
          <w:sz w:val="44"/>
          <w:szCs w:val="44"/>
        </w:rPr>
        <w:t>严重精神障碍患者监护经费及高风险患者送治费</w:t>
      </w:r>
      <w:r>
        <w:rPr>
          <w:rFonts w:eastAsia="方正小标宋简体"/>
          <w:b w:val="0"/>
          <w:bCs/>
          <w:sz w:val="44"/>
          <w:szCs w:val="44"/>
        </w:rPr>
        <w:t>专项资金绩效重点评价</w:t>
      </w:r>
      <w:r>
        <w:rPr>
          <w:rFonts w:hint="eastAsia" w:eastAsia="方正小标宋简体"/>
          <w:b w:val="0"/>
          <w:bCs/>
          <w:sz w:val="44"/>
          <w:szCs w:val="44"/>
        </w:rPr>
        <w:t>简要</w:t>
      </w:r>
      <w:r>
        <w:rPr>
          <w:rFonts w:eastAsia="方正小标宋简体"/>
          <w:b w:val="0"/>
          <w:bCs/>
          <w:sz w:val="44"/>
          <w:szCs w:val="44"/>
        </w:rPr>
        <w:t>报告</w:t>
      </w:r>
    </w:p>
    <w:p>
      <w:pPr>
        <w:ind w:firstLine="0" w:firstLineChars="0"/>
        <w:jc w:val="center"/>
      </w:pPr>
      <w:r>
        <w:t>致同会计师事务所（特殊普通合伙）广州分所</w:t>
      </w:r>
    </w:p>
    <w:p>
      <w:pPr>
        <w:pStyle w:val="2"/>
        <w:ind w:firstLine="0" w:firstLineChars="0"/>
        <w:rPr>
          <w:rFonts w:ascii="Times New Roman" w:hAnsi="Times New Roman"/>
        </w:rPr>
      </w:pPr>
    </w:p>
    <w:p>
      <w:pPr>
        <w:pStyle w:val="3"/>
        <w:ind w:firstLine="640"/>
        <w:rPr>
          <w:color w:val="000000" w:themeColor="text1"/>
        </w:rPr>
      </w:pPr>
      <w:bookmarkStart w:id="0" w:name="_Toc50047257"/>
      <w:bookmarkStart w:id="1" w:name="_Toc19029258"/>
      <w:bookmarkStart w:id="2" w:name="_Toc19050197"/>
      <w:bookmarkStart w:id="3" w:name="_Toc16507568"/>
      <w:r>
        <w:rPr>
          <w:color w:val="000000" w:themeColor="text1"/>
        </w:rPr>
        <w:t>一、</w:t>
      </w:r>
      <w:r>
        <w:rPr>
          <w:rFonts w:hint="eastAsia"/>
          <w:color w:val="000000" w:themeColor="text1"/>
        </w:rPr>
        <w:t>项目基本情况</w:t>
      </w:r>
      <w:bookmarkEnd w:id="0"/>
    </w:p>
    <w:p>
      <w:pPr>
        <w:pStyle w:val="4"/>
        <w:ind w:firstLine="640"/>
        <w:rPr>
          <w:color w:val="000000" w:themeColor="text1"/>
        </w:rPr>
      </w:pPr>
      <w:bookmarkStart w:id="4" w:name="_Toc50047259"/>
      <w:r>
        <w:rPr>
          <w:color w:val="000000" w:themeColor="text1"/>
        </w:rPr>
        <w:t>（</w:t>
      </w:r>
      <w:r>
        <w:rPr>
          <w:rFonts w:hint="eastAsia"/>
          <w:color w:val="000000" w:themeColor="text1"/>
        </w:rPr>
        <w:t>一</w:t>
      </w:r>
      <w:r>
        <w:rPr>
          <w:color w:val="000000" w:themeColor="text1"/>
        </w:rPr>
        <w:t>）项目背景</w:t>
      </w:r>
      <w:bookmarkEnd w:id="4"/>
    </w:p>
    <w:p>
      <w:pPr>
        <w:ind w:firstLine="640"/>
        <w:rPr>
          <w:color w:val="FF0000"/>
        </w:rPr>
      </w:pPr>
      <w:r>
        <w:rPr>
          <w:rFonts w:hint="eastAsia"/>
        </w:rPr>
        <w:t>根据国卫办疾控函〔2019〕899号、国卫疾控发〔2</w:t>
      </w:r>
      <w:r>
        <w:t>018</w:t>
      </w:r>
      <w:r>
        <w:rPr>
          <w:rFonts w:hint="eastAsia"/>
        </w:rPr>
        <w:t>〕13号等文件精神，由花都区卫生健康局负责组织开展全区严重精神障碍患者救治管理工作。依据</w:t>
      </w:r>
      <w:r>
        <w:t>《广州市严重精神障碍患者监护补助工作管理办法（试行）》（穗综治办</w:t>
      </w:r>
      <w:r>
        <w:rPr>
          <w:rFonts w:hint="eastAsia"/>
        </w:rPr>
        <w:t>〔2</w:t>
      </w:r>
      <w:r>
        <w:t>017</w:t>
      </w:r>
      <w:r>
        <w:rPr>
          <w:rFonts w:hint="eastAsia"/>
        </w:rPr>
        <w:t>〕</w:t>
      </w:r>
      <w:r>
        <w:t>3号）、《关于转发</w:t>
      </w:r>
      <w:r>
        <w:rPr>
          <w:rFonts w:hint="eastAsia"/>
        </w:rPr>
        <w:t xml:space="preserve"> </w:t>
      </w:r>
      <w:r>
        <w:t>广州市严重精神障碍患者监护补助工作管理办法（试行）的通知》（花综治办</w:t>
      </w:r>
      <w:r>
        <w:rPr>
          <w:rFonts w:hint="eastAsia"/>
        </w:rPr>
        <w:t>〔2</w:t>
      </w:r>
      <w:r>
        <w:t>017</w:t>
      </w:r>
      <w:r>
        <w:rPr>
          <w:rFonts w:hint="eastAsia"/>
        </w:rPr>
        <w:t>〕</w:t>
      </w:r>
      <w:r>
        <w:t>5号）</w:t>
      </w:r>
      <w:r>
        <w:rPr>
          <w:rFonts w:hint="eastAsia"/>
        </w:rPr>
        <w:t>文件要求开展项目，通过加强专班联动机制以及监护补助发放等管控工作深入开展，落实监护人（协助监护人）看管责任，提高患者服药依从性，减少肇事肇祸事件发生。</w:t>
      </w:r>
    </w:p>
    <w:p>
      <w:pPr>
        <w:pStyle w:val="4"/>
        <w:ind w:firstLine="640"/>
        <w:rPr>
          <w:rFonts w:cs="Times New Roman"/>
          <w:color w:val="000000" w:themeColor="text1"/>
        </w:rPr>
      </w:pPr>
      <w:bookmarkStart w:id="5" w:name="_Toc19029260"/>
      <w:bookmarkStart w:id="6" w:name="_Toc19050199"/>
      <w:bookmarkStart w:id="7" w:name="_Toc18652679"/>
      <w:bookmarkStart w:id="8" w:name="_Toc50047260"/>
      <w:r>
        <w:rPr>
          <w:rFonts w:cs="Times New Roman"/>
          <w:color w:val="000000" w:themeColor="text1"/>
        </w:rPr>
        <w:t>（</w:t>
      </w:r>
      <w:r>
        <w:rPr>
          <w:rFonts w:hint="eastAsia" w:cs="Times New Roman"/>
          <w:color w:val="000000" w:themeColor="text1"/>
        </w:rPr>
        <w:t>二</w:t>
      </w:r>
      <w:r>
        <w:rPr>
          <w:rFonts w:cs="Times New Roman"/>
          <w:color w:val="000000" w:themeColor="text1"/>
        </w:rPr>
        <w:t>）项目实施概况</w:t>
      </w:r>
      <w:bookmarkEnd w:id="5"/>
      <w:bookmarkEnd w:id="6"/>
      <w:bookmarkEnd w:id="7"/>
      <w:bookmarkEnd w:id="8"/>
    </w:p>
    <w:p>
      <w:pPr>
        <w:pStyle w:val="5"/>
        <w:ind w:firstLine="643"/>
        <w:rPr>
          <w:color w:val="000000" w:themeColor="text1"/>
        </w:rPr>
      </w:pPr>
      <w:bookmarkStart w:id="9" w:name="_Toc19029261"/>
      <w:r>
        <w:rPr>
          <w:color w:val="000000" w:themeColor="text1"/>
        </w:rPr>
        <w:t>1.资金使用情况</w:t>
      </w:r>
      <w:bookmarkEnd w:id="9"/>
    </w:p>
    <w:p>
      <w:pPr>
        <w:ind w:firstLine="640"/>
      </w:pPr>
      <w:r>
        <w:rPr>
          <w:rFonts w:hint="eastAsia"/>
        </w:rPr>
        <w:t>2019年初预算批复533.10万元，预算调整4.22万元，调整后金额537.32万元，实际支出数521.71万元，存在15.61万元结余。预算完成率为97.09%，用于患者监护费及高风险患者送治费支出。</w:t>
      </w:r>
    </w:p>
    <w:p>
      <w:pPr>
        <w:pStyle w:val="5"/>
        <w:ind w:firstLine="643"/>
      </w:pPr>
      <w:bookmarkStart w:id="10" w:name="_Toc19029262"/>
      <w:r>
        <w:t>2.项目实施情况</w:t>
      </w:r>
      <w:bookmarkEnd w:id="10"/>
    </w:p>
    <w:p>
      <w:pPr>
        <w:ind w:firstLine="640"/>
      </w:pPr>
      <w:r>
        <w:rPr>
          <w:rFonts w:hint="eastAsia"/>
        </w:rPr>
        <w:t>本项目由区卫生健康局作为主管单位，区慢病所负责实施。慢病所负责按季度对18家基卫单位开展严重精神障碍管理项目督导检查工作，并现场反馈考评存在的问题及工作整改建议，同时将全区督导工作小结上报区卫生健康局；每月收集各医疗卫生单位门诊精神障碍患者的就诊信息，及时新增并建档管控；每季度编制《花都区严重精神障碍信息管理简报》报送区健局、区残联和各成员单位，防止精神障碍患者轻度滋事和肇事肇祸事件发生。此外，卫健局指定广州圣泉医院承担花都区临床诊治和花都区18家卫生单位的精防巡诊、培训、督导及建立点对点技术指导和双向转诊等各项工作。</w:t>
      </w:r>
    </w:p>
    <w:p>
      <w:pPr>
        <w:pStyle w:val="4"/>
        <w:ind w:firstLine="640"/>
        <w:rPr>
          <w:rFonts w:cs="Times New Roman"/>
          <w:color w:val="000000" w:themeColor="text1"/>
        </w:rPr>
      </w:pPr>
      <w:bookmarkStart w:id="11" w:name="_Toc50047261"/>
      <w:r>
        <w:rPr>
          <w:rFonts w:cs="Times New Roman"/>
          <w:color w:val="000000" w:themeColor="text1"/>
        </w:rPr>
        <w:t>（</w:t>
      </w:r>
      <w:r>
        <w:rPr>
          <w:rFonts w:hint="eastAsia" w:cs="Times New Roman"/>
          <w:color w:val="000000" w:themeColor="text1"/>
        </w:rPr>
        <w:t>三</w:t>
      </w:r>
      <w:r>
        <w:rPr>
          <w:rFonts w:cs="Times New Roman"/>
          <w:color w:val="000000" w:themeColor="text1"/>
        </w:rPr>
        <w:t>）项目绩效目标</w:t>
      </w:r>
      <w:bookmarkEnd w:id="11"/>
    </w:p>
    <w:bookmarkEnd w:id="1"/>
    <w:bookmarkEnd w:id="2"/>
    <w:bookmarkEnd w:id="3"/>
    <w:p>
      <w:pPr>
        <w:ind w:firstLine="640"/>
        <w:rPr>
          <w:rFonts w:eastAsia="楷体_GB2312"/>
          <w:bCs/>
          <w:szCs w:val="32"/>
        </w:rPr>
      </w:pPr>
      <w:bookmarkStart w:id="12" w:name="_Toc19029277"/>
      <w:bookmarkStart w:id="13" w:name="_Toc16507576"/>
      <w:bookmarkStart w:id="14" w:name="_Toc19050206"/>
      <w:r>
        <w:rPr>
          <w:rFonts w:hint="eastAsia"/>
        </w:rPr>
        <w:t>2019年项目绩效目标为：深入开展精防管控工作，严格落实对已登记严重精神障碍患者的随访管理和动态监测，帮助严重精神障碍监护人和协助监护人更好地履行看护管理责任，对高风险患者加强专班联动机制，必要时送院治疗，减少辖区高风险精神障碍患者肇事肇祸事件发生，提高患者和家属的满意度，为营造和谐幸福的生活家园打下坚实基础。</w:t>
      </w:r>
    </w:p>
    <w:p>
      <w:pPr>
        <w:pStyle w:val="4"/>
        <w:ind w:firstLine="640"/>
        <w:rPr>
          <w:rFonts w:cs="Times New Roman"/>
        </w:rPr>
      </w:pPr>
      <w:r>
        <w:rPr>
          <w:rFonts w:cs="Times New Roman"/>
        </w:rPr>
        <w:t>（</w:t>
      </w:r>
      <w:r>
        <w:rPr>
          <w:rFonts w:hint="eastAsia" w:cs="Times New Roman"/>
        </w:rPr>
        <w:t>四</w:t>
      </w:r>
      <w:r>
        <w:rPr>
          <w:rFonts w:cs="Times New Roman"/>
        </w:rPr>
        <w:t>）评价结果</w:t>
      </w:r>
      <w:bookmarkEnd w:id="12"/>
      <w:bookmarkEnd w:id="13"/>
      <w:bookmarkEnd w:id="14"/>
    </w:p>
    <w:p>
      <w:pPr>
        <w:ind w:firstLine="640"/>
      </w:pPr>
      <w:r>
        <w:rPr>
          <w:rFonts w:hint="eastAsia"/>
        </w:rPr>
        <w:t>本次评价采用成本效益分析法、目标结果比较法、因素分析法、公众评判法、穿行测试法等方法，围绕项目安排、管理、绩效、可持续性等方面实施评价，项目绩效评价等级</w:t>
      </w:r>
      <w:bookmarkStart w:id="45" w:name="_GoBack"/>
      <w:bookmarkEnd w:id="45"/>
      <w:r>
        <w:rPr>
          <w:rFonts w:hint="eastAsia"/>
        </w:rPr>
        <w:t>为“</w:t>
      </w:r>
      <w:r>
        <w:rPr>
          <w:rFonts w:hint="eastAsia"/>
          <w:b/>
        </w:rPr>
        <w:t>良</w:t>
      </w:r>
      <w:r>
        <w:rPr>
          <w:rFonts w:hint="eastAsia"/>
        </w:rPr>
        <w:t>”。</w:t>
      </w:r>
    </w:p>
    <w:p>
      <w:pPr>
        <w:pStyle w:val="3"/>
        <w:ind w:firstLine="640"/>
      </w:pPr>
      <w:bookmarkStart w:id="15" w:name="_Toc19029283"/>
      <w:bookmarkStart w:id="16" w:name="_Toc19050208"/>
      <w:bookmarkStart w:id="17" w:name="_Toc16507578"/>
      <w:r>
        <w:rPr>
          <w:rFonts w:hint="eastAsia"/>
        </w:rPr>
        <w:t>二</w:t>
      </w:r>
      <w:r>
        <w:t>、</w:t>
      </w:r>
      <w:r>
        <w:rPr>
          <w:rFonts w:hint="eastAsia"/>
        </w:rPr>
        <w:t>项目</w:t>
      </w:r>
      <w:r>
        <w:t>绩效</w:t>
      </w:r>
      <w:bookmarkEnd w:id="15"/>
      <w:bookmarkEnd w:id="16"/>
      <w:bookmarkEnd w:id="17"/>
    </w:p>
    <w:p>
      <w:pPr>
        <w:pStyle w:val="4"/>
        <w:ind w:firstLine="640"/>
        <w:rPr>
          <w:rFonts w:cs="Times New Roman"/>
        </w:rPr>
      </w:pPr>
      <w:bookmarkStart w:id="18" w:name="_Toc16507579"/>
      <w:bookmarkStart w:id="19" w:name="_Toc19029284"/>
      <w:bookmarkStart w:id="20" w:name="_Toc13988"/>
      <w:bookmarkStart w:id="21" w:name="_Toc10624"/>
      <w:bookmarkStart w:id="22" w:name="_Toc19050209"/>
      <w:r>
        <w:rPr>
          <w:rFonts w:hint="eastAsia" w:cs="Times New Roman"/>
        </w:rPr>
        <w:t>（一）加强全区精防管控力度，及时掌握患者基本情况</w:t>
      </w:r>
    </w:p>
    <w:p>
      <w:pPr>
        <w:ind w:firstLine="640"/>
        <w:rPr>
          <w:rFonts w:eastAsia="楷体_GB2312"/>
          <w:bCs/>
          <w:szCs w:val="32"/>
        </w:rPr>
      </w:pPr>
      <w:r>
        <w:rPr>
          <w:rFonts w:hint="eastAsia"/>
          <w:bCs/>
        </w:rPr>
        <w:t>区卫健委委托</w:t>
      </w:r>
      <w:r>
        <w:rPr>
          <w:rFonts w:hint="eastAsia"/>
        </w:rPr>
        <w:t>广州圣泉医院</w:t>
      </w:r>
      <w:r>
        <w:rPr>
          <w:rFonts w:hint="eastAsia"/>
          <w:bCs/>
        </w:rPr>
        <w:t>承担精防巡诊、培训、督导及建立点对点技术指导和双向转诊等工作，且进展顺利。</w:t>
      </w:r>
      <w:r>
        <w:rPr>
          <w:rFonts w:hint="eastAsia"/>
        </w:rPr>
        <w:t>此外，区慢病所通过数据质控分析，加强患者信息及隐私保护工作，掌握患者基本情况和精神卫生工作信息。</w:t>
      </w:r>
    </w:p>
    <w:p>
      <w:pPr>
        <w:pStyle w:val="4"/>
        <w:ind w:firstLine="640"/>
      </w:pPr>
      <w:bookmarkStart w:id="23" w:name="_Toc49594697"/>
      <w:r>
        <w:rPr>
          <w:rFonts w:hint="eastAsia"/>
        </w:rPr>
        <w:t>（二）加强对精防人员及监护人的培训学习，提升精防工作水平</w:t>
      </w:r>
      <w:bookmarkEnd w:id="23"/>
    </w:p>
    <w:p>
      <w:pPr>
        <w:ind w:firstLine="640"/>
      </w:pPr>
      <w:r>
        <w:rPr>
          <w:rFonts w:hint="eastAsia"/>
        </w:rPr>
        <w:t>一是区卫生健康局通过召开区级严重精神障碍工作风险研讨会，举办基层精防工作人员培训，组织参加市级业务培训及上岗培训，提高精防人员的业务知识水平。二是针对严重精神障碍患者监护人和（或）协助监护人开展集中培训，夯实监护补助工作管理制度。</w:t>
      </w:r>
    </w:p>
    <w:p>
      <w:pPr>
        <w:pStyle w:val="4"/>
        <w:ind w:firstLine="640"/>
      </w:pPr>
      <w:bookmarkStart w:id="24" w:name="_Toc49594698"/>
      <w:r>
        <w:rPr>
          <w:rFonts w:hint="eastAsia"/>
        </w:rPr>
        <w:t>（三）开展专项摸排工作，规范辖区精防管控工作</w:t>
      </w:r>
      <w:bookmarkEnd w:id="24"/>
    </w:p>
    <w:p>
      <w:pPr>
        <w:ind w:firstLine="640"/>
      </w:pPr>
      <w:r>
        <w:rPr>
          <w:rFonts w:hint="eastAsia"/>
        </w:rPr>
        <w:t>区卫生健康局协助开展肇事肇祸等严重精神障碍患者专项摸排工作，排查率98.90%。此外，各基卫单位对辖区所有居家严重精神障碍患者完成至少一次面访，其中对曾评估为三级及以上患者每周不少于一次面访等相关报表收集、总结及上报工作。</w:t>
      </w:r>
    </w:p>
    <w:bookmarkEnd w:id="18"/>
    <w:bookmarkEnd w:id="19"/>
    <w:bookmarkEnd w:id="20"/>
    <w:bookmarkEnd w:id="21"/>
    <w:bookmarkEnd w:id="22"/>
    <w:p>
      <w:pPr>
        <w:pStyle w:val="3"/>
        <w:ind w:firstLine="640"/>
      </w:pPr>
      <w:bookmarkStart w:id="25" w:name="_Toc19029287"/>
      <w:bookmarkStart w:id="26" w:name="_Toc16507582"/>
      <w:bookmarkStart w:id="27" w:name="_Toc19050212"/>
      <w:r>
        <w:rPr>
          <w:rFonts w:hint="eastAsia"/>
        </w:rPr>
        <w:t>三</w:t>
      </w:r>
      <w:r>
        <w:t>、存在问题</w:t>
      </w:r>
      <w:bookmarkEnd w:id="25"/>
      <w:bookmarkEnd w:id="26"/>
      <w:bookmarkEnd w:id="27"/>
    </w:p>
    <w:p>
      <w:pPr>
        <w:pStyle w:val="4"/>
        <w:ind w:firstLine="640"/>
        <w:rPr>
          <w:rFonts w:cs="Times New Roman"/>
        </w:rPr>
      </w:pPr>
      <w:bookmarkStart w:id="28" w:name="_Toc9857"/>
      <w:bookmarkStart w:id="29" w:name="_Toc19029288"/>
      <w:bookmarkStart w:id="30" w:name="_Toc19050213"/>
      <w:bookmarkStart w:id="31" w:name="_Toc16507583"/>
      <w:r>
        <w:rPr>
          <w:rFonts w:hint="eastAsia" w:cs="Times New Roman"/>
        </w:rPr>
        <w:t>（一）精防医生队伍资质不够，存在部分工作不到位情</w:t>
      </w:r>
    </w:p>
    <w:p>
      <w:pPr>
        <w:ind w:firstLine="640"/>
        <w:rPr>
          <w:rFonts w:eastAsia="楷体_GB2312"/>
          <w:szCs w:val="32"/>
        </w:rPr>
      </w:pPr>
      <w:r>
        <w:rPr>
          <w:rFonts w:hint="eastAsia"/>
        </w:rPr>
        <w:t>一是精防医生队伍资质不够，存在患者危险性评估错误、纸质档案不齐全和发病报告不及时的情况。二是部分工作不到位，例如存在不符合标准的人员仍列于补助发放名单中。</w:t>
      </w:r>
    </w:p>
    <w:p>
      <w:pPr>
        <w:pStyle w:val="4"/>
        <w:ind w:left="640" w:firstLine="0" w:firstLineChars="0"/>
      </w:pPr>
      <w:bookmarkStart w:id="32" w:name="_Toc49594701"/>
      <w:r>
        <w:rPr>
          <w:rFonts w:hint="eastAsia"/>
        </w:rPr>
        <w:t>（二）实际数与预算数相差较远，测算依据不够充分</w:t>
      </w:r>
      <w:bookmarkEnd w:id="32"/>
    </w:p>
    <w:p>
      <w:pPr>
        <w:ind w:firstLine="640"/>
      </w:pPr>
      <w:r>
        <w:rPr>
          <w:rFonts w:hint="eastAsia"/>
        </w:rPr>
        <w:t>一是对高风险送治经费的测算不够精准。在申报项目预算时，高风险送治经费按800元/人申报预算与相关标准实际按240元/人相差较远。二是对严重精神障碍患者人数的预计发放人数与实际发放人数存在较大差异，其中，列示0-2级患者相差1,362人；3-5级患者相差307人；全区在册严重精神障碍患者相差591人。</w:t>
      </w:r>
    </w:p>
    <w:p>
      <w:pPr>
        <w:pStyle w:val="4"/>
        <w:ind w:firstLine="640"/>
      </w:pPr>
      <w:bookmarkStart w:id="33" w:name="_Toc49594702"/>
      <w:r>
        <w:rPr>
          <w:rFonts w:hint="eastAsia"/>
        </w:rPr>
        <w:t>（三）绩效指标设置不够科学，未有效贴合省市工作指标</w:t>
      </w:r>
      <w:bookmarkEnd w:id="33"/>
    </w:p>
    <w:p>
      <w:pPr>
        <w:pStyle w:val="2"/>
        <w:ind w:firstLine="640"/>
        <w:rPr>
          <w:rFonts w:ascii="Times New Roman" w:hAnsi="Times New Roman"/>
          <w:sz w:val="32"/>
        </w:rPr>
      </w:pPr>
      <w:r>
        <w:rPr>
          <w:rFonts w:hint="eastAsia" w:ascii="Times New Roman" w:hAnsi="Times New Roman"/>
          <w:sz w:val="32"/>
        </w:rPr>
        <w:t>一是产出指标的设置未能与省、市工作指标有效贴合。二是效益指标中“有效减少精神障碍患者肇事肇祸的发生”的三级指标“经费按时拨付，监护人、协助监护人履行职责”不够科学，用经费的按时拨付考核有效减少精神障碍患者肇事肇祸的发生不够恰当。</w:t>
      </w:r>
    </w:p>
    <w:p>
      <w:pPr>
        <w:pStyle w:val="4"/>
        <w:ind w:left="640" w:leftChars="200" w:firstLine="0" w:firstLineChars="0"/>
      </w:pPr>
      <w:bookmarkStart w:id="34" w:name="_Toc49594703"/>
      <w:r>
        <w:rPr>
          <w:rFonts w:hint="eastAsia"/>
        </w:rPr>
        <w:t>（四）发票日期早于合同签订日，易存在财务监管风险</w:t>
      </w:r>
      <w:bookmarkEnd w:id="34"/>
    </w:p>
    <w:p>
      <w:pPr>
        <w:ind w:firstLine="640"/>
      </w:pPr>
      <w:r>
        <w:rPr>
          <w:rFonts w:hint="eastAsia"/>
        </w:rPr>
        <w:t>对财务资料核查发现，严重精神障碍患者监护责任补偿保险费合同签订日期为2019年6月30日，而该合同发票已于2019年6月26日开具，发票开具日期早于合同签订日期，易产生财务监管漏洞。</w:t>
      </w:r>
    </w:p>
    <w:bookmarkEnd w:id="28"/>
    <w:bookmarkEnd w:id="29"/>
    <w:bookmarkEnd w:id="30"/>
    <w:bookmarkEnd w:id="31"/>
    <w:p>
      <w:pPr>
        <w:pStyle w:val="3"/>
        <w:ind w:firstLine="640"/>
      </w:pPr>
      <w:bookmarkStart w:id="35" w:name="_Toc19029291"/>
      <w:bookmarkStart w:id="36" w:name="_Toc16507586"/>
      <w:bookmarkStart w:id="37" w:name="_Toc19050216"/>
      <w:r>
        <w:rPr>
          <w:rFonts w:hint="eastAsia"/>
        </w:rPr>
        <w:t>四</w:t>
      </w:r>
      <w:r>
        <w:t>、相关建议</w:t>
      </w:r>
      <w:bookmarkEnd w:id="35"/>
      <w:bookmarkEnd w:id="36"/>
      <w:bookmarkEnd w:id="37"/>
    </w:p>
    <w:p>
      <w:pPr>
        <w:pStyle w:val="4"/>
        <w:ind w:firstLine="640"/>
      </w:pPr>
      <w:bookmarkStart w:id="38" w:name="_Toc19029292"/>
      <w:bookmarkStart w:id="39" w:name="_Toc16507587"/>
      <w:bookmarkStart w:id="40" w:name="_Toc9448"/>
      <w:bookmarkStart w:id="41" w:name="_Toc19050217"/>
      <w:r>
        <w:rPr>
          <w:rFonts w:hint="eastAsia"/>
        </w:rPr>
        <w:t>（一）提高精防医生队伍资质，保障精防工作高效开展</w:t>
      </w:r>
    </w:p>
    <w:p>
      <w:pPr>
        <w:ind w:firstLine="640"/>
      </w:pPr>
      <w:r>
        <w:rPr>
          <w:rFonts w:hint="eastAsia"/>
        </w:rPr>
        <w:t>一是，建议区卫生健康局增设对精防医生队伍的绩效考核，制定相关管理细则，明确精防医生资质需求以及对出现诊断错误的情况的解决措施，明晰考核指标及考核标准，对多次考核不合格的精防医生采取一定的处置措施。二是，加强对精防医生的培训，并以试卷或知识问答等形式考核培训成果，更为有效地提高其专业知识水平。三是，针对上一季度发现的问题，应在下一季度及时改进，并将整改情况于每季度简报中共同上报，针对同一问题若连续超过2个季度仍未得到解决则应重点关注。</w:t>
      </w:r>
    </w:p>
    <w:p>
      <w:pPr>
        <w:pStyle w:val="4"/>
        <w:ind w:firstLine="640"/>
      </w:pPr>
      <w:bookmarkStart w:id="42" w:name="_Toc49594706"/>
      <w:r>
        <w:rPr>
          <w:rFonts w:hint="eastAsia"/>
        </w:rPr>
        <w:t>（二）细化项目资金测算，避免预算数与实际数差距过大</w:t>
      </w:r>
      <w:bookmarkEnd w:id="42"/>
    </w:p>
    <w:p>
      <w:pPr>
        <w:ind w:firstLine="640"/>
      </w:pPr>
      <w:r>
        <w:rPr>
          <w:rFonts w:hint="eastAsia"/>
        </w:rPr>
        <w:t>一是建议卫健局按照《广州市严重精神障碍患者监护补助工作管理办法（试行）的通知》（花综治办〔2017〕5号文）的标准240元/人测算送治经费，并以上年度或近三年度平均人数作为基数。二是建议卫健局根据对严重精神障碍患者人数专项摸排工作成果，结合往年度各级患者实际情况，更加合理精准地测算患者人数，避免预计发放人数与实际发放人数出现较大差异。</w:t>
      </w:r>
    </w:p>
    <w:p>
      <w:pPr>
        <w:pStyle w:val="4"/>
        <w:ind w:firstLine="640"/>
      </w:pPr>
      <w:bookmarkStart w:id="43" w:name="_Toc49594707"/>
      <w:r>
        <w:rPr>
          <w:rFonts w:hint="eastAsia"/>
        </w:rPr>
        <w:t>（三）优化调整绩效指标设置，有效贴合省市工作指标</w:t>
      </w:r>
      <w:bookmarkEnd w:id="43"/>
    </w:p>
    <w:p>
      <w:pPr>
        <w:ind w:firstLine="640"/>
      </w:pPr>
      <w:r>
        <w:rPr>
          <w:rFonts w:hint="eastAsia"/>
        </w:rPr>
        <w:t>建议卫健局将省市8个工作指标作为本项目产出指标，有效贴合产出指标与省市工作指标。此外，效益指标的实现值尽可能做到可量化，选择更为合适的实现值作为指标考核标准，例如设置“精防队伍资质不断提高”“培训考核通过率”和“监护人培训满意度”等。</w:t>
      </w:r>
    </w:p>
    <w:p>
      <w:pPr>
        <w:pStyle w:val="4"/>
        <w:ind w:left="640" w:leftChars="200" w:firstLine="0" w:firstLineChars="0"/>
      </w:pPr>
      <w:bookmarkStart w:id="44" w:name="_Toc49594708"/>
      <w:r>
        <w:rPr>
          <w:rFonts w:hint="eastAsia"/>
        </w:rPr>
        <w:t>（四）严格按照流程执行相关手续，强化资金监管力度</w:t>
      </w:r>
      <w:bookmarkEnd w:id="44"/>
    </w:p>
    <w:p>
      <w:pPr>
        <w:ind w:firstLine="640"/>
      </w:pPr>
      <w:r>
        <w:rPr>
          <w:rFonts w:hint="eastAsia"/>
        </w:rPr>
        <w:t>一是在项目执行过程中更为严谨地对待各环节的实施细节，严格按照项目流程执行审批、签订合同、开具发票等手续。例如在被保人员通过上级领导审批后，先与保险公司签订合同，再由承保公司开具发票。二是财务部门在支付费用时，应强化对原始单据、合同签订日期的核查，定期对会计凭证、财务资料等信息再复核，避免出现财务监管漏洞。</w:t>
      </w:r>
    </w:p>
    <w:bookmarkEnd w:id="38"/>
    <w:bookmarkEnd w:id="39"/>
    <w:bookmarkEnd w:id="40"/>
    <w:bookmarkEnd w:id="41"/>
    <w:p>
      <w:pPr>
        <w:ind w:firstLine="0" w:firstLineChars="0"/>
      </w:pPr>
    </w:p>
    <w:sectPr>
      <w:headerReference r:id="rId3" w:type="default"/>
      <w:footerReference r:id="rId4" w:type="default"/>
      <w:pgSz w:w="11906" w:h="16838"/>
      <w:pgMar w:top="2098" w:right="1531" w:bottom="1985" w:left="1588" w:header="851" w:footer="992" w:gutter="0"/>
      <w:pgNumType w:start="1"/>
      <w:cols w:space="720" w:num="1"/>
      <w:docGrid w:type="lines" w:linePitch="435" w:charSpace="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 wne:kcmPrimary="0432">
      <wne:acd wne:acdName="acd1"/>
    </wne:keymap>
    <wne:keymap wne:kcmPrimary="0433">
      <wne:acd wne:acdName="acd2"/>
    </wne:keymap>
    <wne:keymap wne:kcmPrimary="0434">
      <wne:acd wne:acdName="acd3"/>
    </wne:keymap>
    <wne:keymap wne:kcmPrimary="045A">
      <wne:acd wne:acdName="acd4"/>
    </wne:keymap>
  </wne:keymap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AA" wne:acdName="acd4"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4"/>
        <w:szCs w:val="24"/>
      </w:rPr>
      <w:id w:val="1262576276"/>
      <w:docPartObj>
        <w:docPartGallery w:val="autotext"/>
      </w:docPartObj>
    </w:sdtPr>
    <w:sdtEndPr>
      <w:rPr>
        <w:rFonts w:ascii="Times New Roman" w:hAnsi="Times New Roman" w:cs="Times New Roman"/>
        <w:sz w:val="24"/>
        <w:szCs w:val="24"/>
      </w:rPr>
    </w:sdtEndPr>
    <w:sdtContent>
      <w:p>
        <w:pPr>
          <w:pStyle w:val="11"/>
          <w:ind w:firstLine="0" w:firstLineChars="0"/>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PAGE   \* MERGEFORMAT</w:instrText>
        </w:r>
        <w:r>
          <w:rPr>
            <w:rFonts w:ascii="Times New Roman" w:hAnsi="Times New Roman" w:cs="Times New Roman"/>
            <w:sz w:val="24"/>
            <w:szCs w:val="24"/>
          </w:rPr>
          <w:fldChar w:fldCharType="separate"/>
        </w:r>
        <w:r>
          <w:rPr>
            <w:rFonts w:ascii="Times New Roman" w:hAnsi="Times New Roman" w:cs="Times New Roman"/>
            <w:sz w:val="24"/>
            <w:szCs w:val="24"/>
            <w:lang w:val="zh-CN"/>
          </w:rPr>
          <w:t>6</w:t>
        </w:r>
        <w:r>
          <w:rPr>
            <w:rFonts w:ascii="Times New Roman" w:hAnsi="Times New Roman" w:cs="Times New Roman"/>
            <w:sz w:val="24"/>
            <w:szCs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C7397"/>
    <w:rsid w:val="00016FBA"/>
    <w:rsid w:val="00022803"/>
    <w:rsid w:val="00024BBA"/>
    <w:rsid w:val="00032B8C"/>
    <w:rsid w:val="000440A3"/>
    <w:rsid w:val="00047FBD"/>
    <w:rsid w:val="000552EC"/>
    <w:rsid w:val="00082864"/>
    <w:rsid w:val="00082B32"/>
    <w:rsid w:val="00093D27"/>
    <w:rsid w:val="000A2118"/>
    <w:rsid w:val="000A354A"/>
    <w:rsid w:val="000B0CAA"/>
    <w:rsid w:val="000C3A0F"/>
    <w:rsid w:val="000C6EB1"/>
    <w:rsid w:val="000E1E34"/>
    <w:rsid w:val="000E7309"/>
    <w:rsid w:val="000F469F"/>
    <w:rsid w:val="0012334C"/>
    <w:rsid w:val="00134A90"/>
    <w:rsid w:val="00135F82"/>
    <w:rsid w:val="001437A3"/>
    <w:rsid w:val="001476B1"/>
    <w:rsid w:val="00150259"/>
    <w:rsid w:val="00156671"/>
    <w:rsid w:val="001657D7"/>
    <w:rsid w:val="00172024"/>
    <w:rsid w:val="00175C32"/>
    <w:rsid w:val="001829E1"/>
    <w:rsid w:val="00182ACC"/>
    <w:rsid w:val="00184F28"/>
    <w:rsid w:val="001A446A"/>
    <w:rsid w:val="001B1D4E"/>
    <w:rsid w:val="001D519F"/>
    <w:rsid w:val="001D7AB2"/>
    <w:rsid w:val="001D7B5A"/>
    <w:rsid w:val="001E2C45"/>
    <w:rsid w:val="001F11B5"/>
    <w:rsid w:val="00212F01"/>
    <w:rsid w:val="00222D6E"/>
    <w:rsid w:val="00237882"/>
    <w:rsid w:val="00242FDB"/>
    <w:rsid w:val="0024721C"/>
    <w:rsid w:val="00277A84"/>
    <w:rsid w:val="00285338"/>
    <w:rsid w:val="002A5D34"/>
    <w:rsid w:val="002C03BF"/>
    <w:rsid w:val="002C04EF"/>
    <w:rsid w:val="002D0DBD"/>
    <w:rsid w:val="002D1CF1"/>
    <w:rsid w:val="002E75BA"/>
    <w:rsid w:val="00302080"/>
    <w:rsid w:val="00310DB1"/>
    <w:rsid w:val="00337846"/>
    <w:rsid w:val="00345875"/>
    <w:rsid w:val="00347A14"/>
    <w:rsid w:val="00352F39"/>
    <w:rsid w:val="00354C0F"/>
    <w:rsid w:val="00370B68"/>
    <w:rsid w:val="0037553D"/>
    <w:rsid w:val="00376C97"/>
    <w:rsid w:val="00384ACF"/>
    <w:rsid w:val="00393474"/>
    <w:rsid w:val="003A3CF7"/>
    <w:rsid w:val="003B22BA"/>
    <w:rsid w:val="003B50B3"/>
    <w:rsid w:val="003D0656"/>
    <w:rsid w:val="003D1744"/>
    <w:rsid w:val="003D2470"/>
    <w:rsid w:val="004028B1"/>
    <w:rsid w:val="00402D9F"/>
    <w:rsid w:val="004033C6"/>
    <w:rsid w:val="00421643"/>
    <w:rsid w:val="004326C1"/>
    <w:rsid w:val="004514D6"/>
    <w:rsid w:val="004660C3"/>
    <w:rsid w:val="00476764"/>
    <w:rsid w:val="00480208"/>
    <w:rsid w:val="00480B8E"/>
    <w:rsid w:val="004816CB"/>
    <w:rsid w:val="004930D9"/>
    <w:rsid w:val="004D02DC"/>
    <w:rsid w:val="004E7BFA"/>
    <w:rsid w:val="00531292"/>
    <w:rsid w:val="0053562A"/>
    <w:rsid w:val="00537476"/>
    <w:rsid w:val="00540AB9"/>
    <w:rsid w:val="0054407B"/>
    <w:rsid w:val="00545672"/>
    <w:rsid w:val="0055375F"/>
    <w:rsid w:val="005677CB"/>
    <w:rsid w:val="005833AD"/>
    <w:rsid w:val="005914A7"/>
    <w:rsid w:val="00596D83"/>
    <w:rsid w:val="005A19F8"/>
    <w:rsid w:val="005A7371"/>
    <w:rsid w:val="005A759D"/>
    <w:rsid w:val="005C15AA"/>
    <w:rsid w:val="005C744A"/>
    <w:rsid w:val="005D056D"/>
    <w:rsid w:val="005D66D8"/>
    <w:rsid w:val="005E355B"/>
    <w:rsid w:val="005E43EA"/>
    <w:rsid w:val="005E546D"/>
    <w:rsid w:val="005E557B"/>
    <w:rsid w:val="005F2DD5"/>
    <w:rsid w:val="005F7FB5"/>
    <w:rsid w:val="00603071"/>
    <w:rsid w:val="0060334D"/>
    <w:rsid w:val="006129F3"/>
    <w:rsid w:val="00615A0A"/>
    <w:rsid w:val="00623BD4"/>
    <w:rsid w:val="00630395"/>
    <w:rsid w:val="006318C4"/>
    <w:rsid w:val="00635611"/>
    <w:rsid w:val="00637D2A"/>
    <w:rsid w:val="00642820"/>
    <w:rsid w:val="006428BC"/>
    <w:rsid w:val="00644FD7"/>
    <w:rsid w:val="006468BC"/>
    <w:rsid w:val="00665558"/>
    <w:rsid w:val="00666056"/>
    <w:rsid w:val="00671AF7"/>
    <w:rsid w:val="0068160C"/>
    <w:rsid w:val="00686F66"/>
    <w:rsid w:val="006C3AE6"/>
    <w:rsid w:val="006C64F9"/>
    <w:rsid w:val="006D4CAC"/>
    <w:rsid w:val="006F4778"/>
    <w:rsid w:val="006F6D82"/>
    <w:rsid w:val="00700E82"/>
    <w:rsid w:val="00706F0A"/>
    <w:rsid w:val="0071241A"/>
    <w:rsid w:val="007277B0"/>
    <w:rsid w:val="00751813"/>
    <w:rsid w:val="00753D8E"/>
    <w:rsid w:val="007615CA"/>
    <w:rsid w:val="00761FCE"/>
    <w:rsid w:val="00764F44"/>
    <w:rsid w:val="007652D0"/>
    <w:rsid w:val="00774D3C"/>
    <w:rsid w:val="00791413"/>
    <w:rsid w:val="007914EF"/>
    <w:rsid w:val="007A4ED4"/>
    <w:rsid w:val="007A663A"/>
    <w:rsid w:val="007A7DAD"/>
    <w:rsid w:val="007B01FC"/>
    <w:rsid w:val="007B3780"/>
    <w:rsid w:val="007C112F"/>
    <w:rsid w:val="007D00AF"/>
    <w:rsid w:val="007D1C1A"/>
    <w:rsid w:val="007D3116"/>
    <w:rsid w:val="007D3520"/>
    <w:rsid w:val="007E175C"/>
    <w:rsid w:val="007F538D"/>
    <w:rsid w:val="0080234D"/>
    <w:rsid w:val="00804AFA"/>
    <w:rsid w:val="008122D2"/>
    <w:rsid w:val="008171C8"/>
    <w:rsid w:val="00837753"/>
    <w:rsid w:val="008420D3"/>
    <w:rsid w:val="00842665"/>
    <w:rsid w:val="0084593E"/>
    <w:rsid w:val="00855547"/>
    <w:rsid w:val="00857314"/>
    <w:rsid w:val="00862921"/>
    <w:rsid w:val="00865E9F"/>
    <w:rsid w:val="008800EC"/>
    <w:rsid w:val="008927C7"/>
    <w:rsid w:val="008937CF"/>
    <w:rsid w:val="008A1AE9"/>
    <w:rsid w:val="008A5E43"/>
    <w:rsid w:val="008C08D1"/>
    <w:rsid w:val="008C4839"/>
    <w:rsid w:val="008D2C0C"/>
    <w:rsid w:val="008E6689"/>
    <w:rsid w:val="008E7EB0"/>
    <w:rsid w:val="008F7D44"/>
    <w:rsid w:val="009301B8"/>
    <w:rsid w:val="00930309"/>
    <w:rsid w:val="0093534D"/>
    <w:rsid w:val="009402EE"/>
    <w:rsid w:val="009428DB"/>
    <w:rsid w:val="00950F6D"/>
    <w:rsid w:val="00961913"/>
    <w:rsid w:val="00962B49"/>
    <w:rsid w:val="009746E3"/>
    <w:rsid w:val="009747BD"/>
    <w:rsid w:val="00982268"/>
    <w:rsid w:val="00982290"/>
    <w:rsid w:val="00987283"/>
    <w:rsid w:val="009B098C"/>
    <w:rsid w:val="009B1EF0"/>
    <w:rsid w:val="009B303A"/>
    <w:rsid w:val="009C540F"/>
    <w:rsid w:val="009C6505"/>
    <w:rsid w:val="009C6F6C"/>
    <w:rsid w:val="009C7397"/>
    <w:rsid w:val="009D5D1C"/>
    <w:rsid w:val="009D644F"/>
    <w:rsid w:val="009D6B25"/>
    <w:rsid w:val="009E5C36"/>
    <w:rsid w:val="00A07AC0"/>
    <w:rsid w:val="00A13915"/>
    <w:rsid w:val="00A23C68"/>
    <w:rsid w:val="00A26A6A"/>
    <w:rsid w:val="00A279CD"/>
    <w:rsid w:val="00A3453E"/>
    <w:rsid w:val="00A40FDF"/>
    <w:rsid w:val="00A55A3F"/>
    <w:rsid w:val="00A56AA1"/>
    <w:rsid w:val="00A646EE"/>
    <w:rsid w:val="00A8372A"/>
    <w:rsid w:val="00AA0B3A"/>
    <w:rsid w:val="00AA3281"/>
    <w:rsid w:val="00AB1428"/>
    <w:rsid w:val="00AB5FBA"/>
    <w:rsid w:val="00AE1211"/>
    <w:rsid w:val="00AE6C51"/>
    <w:rsid w:val="00B14E4E"/>
    <w:rsid w:val="00B17C87"/>
    <w:rsid w:val="00B366F3"/>
    <w:rsid w:val="00B50559"/>
    <w:rsid w:val="00B57C74"/>
    <w:rsid w:val="00B62E63"/>
    <w:rsid w:val="00B64160"/>
    <w:rsid w:val="00B83A61"/>
    <w:rsid w:val="00B86EEC"/>
    <w:rsid w:val="00BA49A6"/>
    <w:rsid w:val="00BB1861"/>
    <w:rsid w:val="00BC1D95"/>
    <w:rsid w:val="00BC7171"/>
    <w:rsid w:val="00BD3898"/>
    <w:rsid w:val="00BD65B8"/>
    <w:rsid w:val="00BF2370"/>
    <w:rsid w:val="00BF2D0B"/>
    <w:rsid w:val="00BF4F29"/>
    <w:rsid w:val="00C006EE"/>
    <w:rsid w:val="00C143B6"/>
    <w:rsid w:val="00C27D16"/>
    <w:rsid w:val="00C321D8"/>
    <w:rsid w:val="00C455B9"/>
    <w:rsid w:val="00C55BEB"/>
    <w:rsid w:val="00C76032"/>
    <w:rsid w:val="00C81BA3"/>
    <w:rsid w:val="00C8284B"/>
    <w:rsid w:val="00CA4F02"/>
    <w:rsid w:val="00CC1DC0"/>
    <w:rsid w:val="00CC3DD4"/>
    <w:rsid w:val="00CD4701"/>
    <w:rsid w:val="00CD6156"/>
    <w:rsid w:val="00CE180A"/>
    <w:rsid w:val="00CE25C6"/>
    <w:rsid w:val="00CE5EC3"/>
    <w:rsid w:val="00CF13A8"/>
    <w:rsid w:val="00CF400D"/>
    <w:rsid w:val="00D1439A"/>
    <w:rsid w:val="00D14BCD"/>
    <w:rsid w:val="00D173E2"/>
    <w:rsid w:val="00D17C96"/>
    <w:rsid w:val="00D22002"/>
    <w:rsid w:val="00D24BDE"/>
    <w:rsid w:val="00D401B1"/>
    <w:rsid w:val="00D57639"/>
    <w:rsid w:val="00D605AC"/>
    <w:rsid w:val="00D6328F"/>
    <w:rsid w:val="00D63809"/>
    <w:rsid w:val="00D64422"/>
    <w:rsid w:val="00D674DB"/>
    <w:rsid w:val="00D757F0"/>
    <w:rsid w:val="00D820E1"/>
    <w:rsid w:val="00D84245"/>
    <w:rsid w:val="00DA1EA5"/>
    <w:rsid w:val="00DA4300"/>
    <w:rsid w:val="00DA522C"/>
    <w:rsid w:val="00DA523F"/>
    <w:rsid w:val="00DA5A48"/>
    <w:rsid w:val="00DB48CB"/>
    <w:rsid w:val="00DB763F"/>
    <w:rsid w:val="00DC44B3"/>
    <w:rsid w:val="00DC5025"/>
    <w:rsid w:val="00DD218D"/>
    <w:rsid w:val="00DE0EF5"/>
    <w:rsid w:val="00DF381E"/>
    <w:rsid w:val="00E02944"/>
    <w:rsid w:val="00E0711F"/>
    <w:rsid w:val="00E073A9"/>
    <w:rsid w:val="00E2195D"/>
    <w:rsid w:val="00E220CA"/>
    <w:rsid w:val="00E24331"/>
    <w:rsid w:val="00E379B2"/>
    <w:rsid w:val="00E37D35"/>
    <w:rsid w:val="00E44EC6"/>
    <w:rsid w:val="00E564D9"/>
    <w:rsid w:val="00E65807"/>
    <w:rsid w:val="00E929E8"/>
    <w:rsid w:val="00E93662"/>
    <w:rsid w:val="00E94B5D"/>
    <w:rsid w:val="00E96EA4"/>
    <w:rsid w:val="00E971FF"/>
    <w:rsid w:val="00EA0EE8"/>
    <w:rsid w:val="00EA7351"/>
    <w:rsid w:val="00EB2A38"/>
    <w:rsid w:val="00EB6EF9"/>
    <w:rsid w:val="00EB7103"/>
    <w:rsid w:val="00EC6BE3"/>
    <w:rsid w:val="00EE39DE"/>
    <w:rsid w:val="00F06898"/>
    <w:rsid w:val="00F11CFC"/>
    <w:rsid w:val="00F1545E"/>
    <w:rsid w:val="00F37D70"/>
    <w:rsid w:val="00F454F7"/>
    <w:rsid w:val="00F55442"/>
    <w:rsid w:val="00F6430F"/>
    <w:rsid w:val="00F6539C"/>
    <w:rsid w:val="00F66437"/>
    <w:rsid w:val="00F70464"/>
    <w:rsid w:val="00F76979"/>
    <w:rsid w:val="00F81EAE"/>
    <w:rsid w:val="00F82E77"/>
    <w:rsid w:val="00F93E67"/>
    <w:rsid w:val="00F96CED"/>
    <w:rsid w:val="00FA0AC5"/>
    <w:rsid w:val="00FB7F05"/>
    <w:rsid w:val="00FC1401"/>
    <w:rsid w:val="00FC3940"/>
    <w:rsid w:val="00FD414D"/>
    <w:rsid w:val="00FD4C04"/>
    <w:rsid w:val="00FE183D"/>
    <w:rsid w:val="00FE28E0"/>
    <w:rsid w:val="00FE5540"/>
    <w:rsid w:val="00FF10A1"/>
    <w:rsid w:val="00FF180A"/>
    <w:rsid w:val="031C0DE1"/>
    <w:rsid w:val="16CD3CCD"/>
    <w:rsid w:val="2F175DD7"/>
    <w:rsid w:val="31AD2424"/>
    <w:rsid w:val="4730511C"/>
    <w:rsid w:val="5DDF7EE9"/>
    <w:rsid w:val="6B7E2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560" w:lineRule="exact"/>
      <w:ind w:firstLine="200" w:firstLineChars="20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23"/>
    <w:qFormat/>
    <w:uiPriority w:val="9"/>
    <w:pPr>
      <w:spacing w:line="600" w:lineRule="exact"/>
      <w:outlineLvl w:val="0"/>
    </w:pPr>
    <w:rPr>
      <w:rFonts w:eastAsia="黑体"/>
      <w:bCs/>
      <w:kern w:val="44"/>
      <w:szCs w:val="44"/>
    </w:rPr>
  </w:style>
  <w:style w:type="paragraph" w:styleId="4">
    <w:name w:val="heading 2"/>
    <w:basedOn w:val="1"/>
    <w:next w:val="1"/>
    <w:link w:val="22"/>
    <w:unhideWhenUsed/>
    <w:qFormat/>
    <w:uiPriority w:val="9"/>
    <w:pPr>
      <w:spacing w:line="600" w:lineRule="exact"/>
      <w:outlineLvl w:val="1"/>
    </w:pPr>
    <w:rPr>
      <w:rFonts w:eastAsia="楷体_GB2312" w:cstheme="majorBidi"/>
      <w:bCs/>
      <w:szCs w:val="32"/>
    </w:rPr>
  </w:style>
  <w:style w:type="paragraph" w:styleId="5">
    <w:name w:val="heading 3"/>
    <w:basedOn w:val="1"/>
    <w:next w:val="1"/>
    <w:unhideWhenUsed/>
    <w:qFormat/>
    <w:uiPriority w:val="9"/>
    <w:pPr>
      <w:outlineLvl w:val="2"/>
    </w:pPr>
    <w:rPr>
      <w:rFonts w:cs="仿宋"/>
      <w:b/>
      <w:kern w:val="0"/>
      <w:szCs w:val="32"/>
      <w:lang w:val="zh-CN" w:bidi="zh-CN"/>
    </w:rPr>
  </w:style>
  <w:style w:type="paragraph" w:styleId="6">
    <w:name w:val="heading 4"/>
    <w:basedOn w:val="1"/>
    <w:next w:val="1"/>
    <w:unhideWhenUsed/>
    <w:qFormat/>
    <w:uiPriority w:val="9"/>
    <w:pPr>
      <w:outlineLvl w:val="3"/>
    </w:p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uiPriority w:val="99"/>
    <w:rPr>
      <w:rFonts w:ascii="Arial" w:hAnsi="Arial"/>
      <w:sz w:val="24"/>
    </w:rPr>
  </w:style>
  <w:style w:type="paragraph" w:styleId="7">
    <w:name w:val="Document Map"/>
    <w:basedOn w:val="1"/>
    <w:link w:val="30"/>
    <w:semiHidden/>
    <w:unhideWhenUsed/>
    <w:qFormat/>
    <w:uiPriority w:val="99"/>
    <w:rPr>
      <w:rFonts w:ascii="宋体"/>
      <w:sz w:val="18"/>
      <w:szCs w:val="18"/>
    </w:rPr>
  </w:style>
  <w:style w:type="paragraph" w:styleId="8">
    <w:name w:val="annotation text"/>
    <w:basedOn w:val="1"/>
    <w:link w:val="31"/>
    <w:semiHidden/>
    <w:unhideWhenUsed/>
    <w:qFormat/>
    <w:uiPriority w:val="99"/>
    <w:pPr>
      <w:jc w:val="left"/>
    </w:pPr>
  </w:style>
  <w:style w:type="paragraph" w:styleId="9">
    <w:name w:val="toc 3"/>
    <w:basedOn w:val="1"/>
    <w:next w:val="1"/>
    <w:unhideWhenUsed/>
    <w:qFormat/>
    <w:uiPriority w:val="39"/>
    <w:pPr>
      <w:ind w:left="840" w:leftChars="400"/>
    </w:pPr>
  </w:style>
  <w:style w:type="paragraph" w:styleId="10">
    <w:name w:val="Balloon Text"/>
    <w:basedOn w:val="1"/>
    <w:link w:val="28"/>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24"/>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toc 1"/>
    <w:basedOn w:val="1"/>
    <w:next w:val="1"/>
    <w:unhideWhenUsed/>
    <w:qFormat/>
    <w:uiPriority w:val="39"/>
    <w:pPr>
      <w:spacing w:before="60" w:after="60"/>
      <w:ind w:firstLine="0" w:firstLineChars="0"/>
    </w:pPr>
    <w:rPr>
      <w:rFonts w:eastAsia="黑体"/>
      <w:bCs/>
      <w:szCs w:val="28"/>
    </w:rPr>
  </w:style>
  <w:style w:type="paragraph" w:styleId="14">
    <w:name w:val="Subtitle"/>
    <w:basedOn w:val="1"/>
    <w:next w:val="1"/>
    <w:link w:val="33"/>
    <w:qFormat/>
    <w:uiPriority w:val="11"/>
    <w:pPr>
      <w:spacing w:before="240" w:after="60" w:line="312" w:lineRule="atLeast"/>
      <w:jc w:val="center"/>
      <w:outlineLvl w:val="1"/>
    </w:pPr>
    <w:rPr>
      <w:rFonts w:eastAsia="宋体" w:asciiTheme="majorHAnsi" w:hAnsiTheme="majorHAnsi" w:cstheme="majorBidi"/>
      <w:b/>
      <w:bCs/>
      <w:kern w:val="28"/>
      <w:szCs w:val="32"/>
    </w:rPr>
  </w:style>
  <w:style w:type="paragraph" w:styleId="15">
    <w:name w:val="toc 2"/>
    <w:basedOn w:val="1"/>
    <w:next w:val="1"/>
    <w:unhideWhenUsed/>
    <w:qFormat/>
    <w:uiPriority w:val="39"/>
    <w:pPr>
      <w:spacing w:before="60" w:after="60"/>
      <w:ind w:left="100" w:leftChars="100" w:firstLine="0" w:firstLineChars="0"/>
    </w:pPr>
  </w:style>
  <w:style w:type="paragraph" w:styleId="16">
    <w:name w:val="annotation subject"/>
    <w:basedOn w:val="8"/>
    <w:next w:val="8"/>
    <w:link w:val="32"/>
    <w:semiHidden/>
    <w:unhideWhenUsed/>
    <w:qFormat/>
    <w:uiPriority w:val="99"/>
    <w:rPr>
      <w:b/>
      <w:bCs/>
    </w:rPr>
  </w:style>
  <w:style w:type="character" w:styleId="19">
    <w:name w:val="Hyperlink"/>
    <w:basedOn w:val="18"/>
    <w:unhideWhenUsed/>
    <w:qFormat/>
    <w:uiPriority w:val="99"/>
    <w:rPr>
      <w:color w:val="0563C1" w:themeColor="hyperlink"/>
      <w:u w:val="single"/>
    </w:rPr>
  </w:style>
  <w:style w:type="character" w:styleId="20">
    <w:name w:val="annotation reference"/>
    <w:basedOn w:val="18"/>
    <w:semiHidden/>
    <w:unhideWhenUsed/>
    <w:qFormat/>
    <w:uiPriority w:val="99"/>
    <w:rPr>
      <w:sz w:val="21"/>
      <w:szCs w:val="21"/>
    </w:rPr>
  </w:style>
  <w:style w:type="paragraph" w:customStyle="1" w:styleId="21">
    <w:name w:val="表格"/>
    <w:basedOn w:val="1"/>
    <w:next w:val="1"/>
    <w:qFormat/>
    <w:uiPriority w:val="0"/>
    <w:pPr>
      <w:spacing w:line="280" w:lineRule="exact"/>
      <w:ind w:firstLine="0" w:firstLineChars="0"/>
    </w:pPr>
    <w:rPr>
      <w:sz w:val="24"/>
    </w:rPr>
  </w:style>
  <w:style w:type="character" w:customStyle="1" w:styleId="22">
    <w:name w:val="标题 2 字符"/>
    <w:basedOn w:val="18"/>
    <w:link w:val="4"/>
    <w:qFormat/>
    <w:uiPriority w:val="9"/>
    <w:rPr>
      <w:rFonts w:eastAsia="楷体_GB2312" w:cstheme="majorBidi"/>
      <w:bCs/>
      <w:kern w:val="2"/>
      <w:sz w:val="32"/>
      <w:szCs w:val="32"/>
    </w:rPr>
  </w:style>
  <w:style w:type="character" w:customStyle="1" w:styleId="23">
    <w:name w:val="标题 1 字符"/>
    <w:basedOn w:val="18"/>
    <w:link w:val="3"/>
    <w:qFormat/>
    <w:uiPriority w:val="9"/>
    <w:rPr>
      <w:rFonts w:eastAsia="黑体"/>
      <w:bCs/>
      <w:kern w:val="44"/>
      <w:sz w:val="32"/>
      <w:szCs w:val="44"/>
    </w:rPr>
  </w:style>
  <w:style w:type="character" w:customStyle="1" w:styleId="24">
    <w:name w:val="页眉 字符"/>
    <w:link w:val="12"/>
    <w:qFormat/>
    <w:uiPriority w:val="99"/>
    <w:rPr>
      <w:sz w:val="18"/>
      <w:szCs w:val="18"/>
    </w:rPr>
  </w:style>
  <w:style w:type="character" w:customStyle="1" w:styleId="25">
    <w:name w:val="页脚 字符"/>
    <w:link w:val="11"/>
    <w:qFormat/>
    <w:uiPriority w:val="99"/>
    <w:rPr>
      <w:sz w:val="18"/>
      <w:szCs w:val="18"/>
    </w:rPr>
  </w:style>
  <w:style w:type="character" w:customStyle="1" w:styleId="26">
    <w:name w:val="页眉 字符1"/>
    <w:basedOn w:val="18"/>
    <w:semiHidden/>
    <w:qFormat/>
    <w:uiPriority w:val="99"/>
    <w:rPr>
      <w:rFonts w:ascii="Times New Roman" w:hAnsi="Times New Roman" w:eastAsia="宋体" w:cs="Times New Roman"/>
      <w:sz w:val="18"/>
      <w:szCs w:val="18"/>
    </w:rPr>
  </w:style>
  <w:style w:type="character" w:customStyle="1" w:styleId="27">
    <w:name w:val="页脚 字符1"/>
    <w:basedOn w:val="18"/>
    <w:semiHidden/>
    <w:qFormat/>
    <w:uiPriority w:val="99"/>
    <w:rPr>
      <w:rFonts w:ascii="Times New Roman" w:hAnsi="Times New Roman" w:eastAsia="宋体" w:cs="Times New Roman"/>
      <w:sz w:val="18"/>
      <w:szCs w:val="18"/>
    </w:rPr>
  </w:style>
  <w:style w:type="character" w:customStyle="1" w:styleId="28">
    <w:name w:val="批注框文本 字符"/>
    <w:basedOn w:val="18"/>
    <w:link w:val="10"/>
    <w:semiHidden/>
    <w:qFormat/>
    <w:uiPriority w:val="99"/>
    <w:rPr>
      <w:rFonts w:ascii="Times New Roman" w:hAnsi="Times New Roman" w:eastAsia="宋体" w:cs="Times New Roman"/>
      <w:sz w:val="18"/>
      <w:szCs w:val="18"/>
    </w:rPr>
  </w:style>
  <w:style w:type="paragraph" w:customStyle="1" w:styleId="29">
    <w:name w:val="TOC 标题1"/>
    <w:basedOn w:val="3"/>
    <w:next w:val="1"/>
    <w:unhideWhenUsed/>
    <w:qFormat/>
    <w:uiPriority w:val="39"/>
    <w:pPr>
      <w:widowControl/>
      <w:spacing w:before="240" w:line="259" w:lineRule="auto"/>
      <w:jc w:val="left"/>
      <w:outlineLvl w:val="9"/>
    </w:pPr>
    <w:rPr>
      <w:rFonts w:asciiTheme="majorHAnsi" w:hAnsiTheme="majorHAnsi" w:eastAsiaTheme="majorEastAsia" w:cstheme="majorBidi"/>
      <w:bCs w:val="0"/>
      <w:color w:val="2F5496" w:themeColor="accent1" w:themeShade="BF"/>
      <w:kern w:val="0"/>
      <w:szCs w:val="32"/>
    </w:rPr>
  </w:style>
  <w:style w:type="character" w:customStyle="1" w:styleId="30">
    <w:name w:val="文档结构图 字符"/>
    <w:basedOn w:val="18"/>
    <w:link w:val="7"/>
    <w:semiHidden/>
    <w:qFormat/>
    <w:uiPriority w:val="99"/>
    <w:rPr>
      <w:rFonts w:ascii="宋体" w:hAnsi="Times New Roman" w:eastAsia="宋体" w:cs="Times New Roman"/>
      <w:sz w:val="18"/>
      <w:szCs w:val="18"/>
    </w:rPr>
  </w:style>
  <w:style w:type="character" w:customStyle="1" w:styleId="31">
    <w:name w:val="批注文字 字符"/>
    <w:basedOn w:val="18"/>
    <w:link w:val="8"/>
    <w:semiHidden/>
    <w:qFormat/>
    <w:uiPriority w:val="99"/>
    <w:rPr>
      <w:rFonts w:ascii="Times New Roman" w:hAnsi="Times New Roman" w:eastAsia="宋体" w:cs="Times New Roman"/>
      <w:szCs w:val="24"/>
    </w:rPr>
  </w:style>
  <w:style w:type="character" w:customStyle="1" w:styleId="32">
    <w:name w:val="批注主题 字符"/>
    <w:basedOn w:val="31"/>
    <w:link w:val="16"/>
    <w:semiHidden/>
    <w:qFormat/>
    <w:uiPriority w:val="99"/>
    <w:rPr>
      <w:rFonts w:ascii="Times New Roman" w:hAnsi="Times New Roman" w:eastAsia="宋体" w:cs="Times New Roman"/>
      <w:b/>
      <w:bCs/>
      <w:szCs w:val="24"/>
    </w:rPr>
  </w:style>
  <w:style w:type="character" w:customStyle="1" w:styleId="33">
    <w:name w:val="副标题 字符"/>
    <w:basedOn w:val="18"/>
    <w:link w:val="14"/>
    <w:qFormat/>
    <w:uiPriority w:val="11"/>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74BEE0-1E00-4F1A-9C85-2533CCCAED4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409</Words>
  <Characters>2332</Characters>
  <Lines>19</Lines>
  <Paragraphs>5</Paragraphs>
  <TotalTime>6</TotalTime>
  <ScaleCrop>false</ScaleCrop>
  <LinksUpToDate>false</LinksUpToDate>
  <CharactersWithSpaces>2736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2019-09-10T15:28:00Z</dcterms:created>
  <dc:creator>致同</dc:creator>
  <cp:lastModifiedBy>小</cp:lastModifiedBy>
  <cp:lastPrinted>2020-09-24T05:50:00Z</cp:lastPrinted>
  <dcterms:modified xsi:type="dcterms:W3CDTF">2021-03-31T07:21:02Z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