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ind w:firstLine="0" w:firstLineChars="0"/>
        <w:jc w:val="center"/>
        <w:rPr>
          <w:rFonts w:eastAsia="方正小标宋简体"/>
          <w:b w:val="0"/>
          <w:bCs/>
          <w:color w:val="000000" w:themeColor="text1"/>
          <w:sz w:val="44"/>
          <w:szCs w:val="44"/>
          <w14:textFill>
            <w14:solidFill>
              <w14:schemeClr w14:val="tx1"/>
            </w14:solidFill>
          </w14:textFill>
        </w:rPr>
      </w:pPr>
      <w:bookmarkStart w:id="0" w:name="_Hlk16480781"/>
      <w:r>
        <w:rPr>
          <w:rFonts w:hint="eastAsia" w:eastAsia="方正小标宋简体"/>
          <w:b w:val="0"/>
          <w:bCs/>
          <w:color w:val="000000" w:themeColor="text1"/>
          <w:sz w:val="44"/>
          <w:szCs w:val="44"/>
          <w14:textFill>
            <w14:solidFill>
              <w14:schemeClr w14:val="tx1"/>
            </w14:solidFill>
          </w14:textFill>
        </w:rPr>
        <w:t>广州市花都区科技工业商务和信息化局</w:t>
      </w:r>
    </w:p>
    <w:p>
      <w:pPr>
        <w:pStyle w:val="2"/>
        <w:spacing w:line="600" w:lineRule="exact"/>
        <w:ind w:firstLine="0" w:firstLineChars="0"/>
        <w:jc w:val="center"/>
        <w:rPr>
          <w:rFonts w:ascii="Times New Roman" w:hAnsi="Times New Roman" w:eastAsia="方正小标宋简体"/>
          <w:b w:val="0"/>
          <w:bCs/>
          <w:color w:val="000000" w:themeColor="text1"/>
          <w:sz w:val="44"/>
          <w:szCs w:val="44"/>
          <w14:textFill>
            <w14:solidFill>
              <w14:schemeClr w14:val="tx1"/>
            </w14:solidFill>
          </w14:textFill>
        </w:rPr>
      </w:pPr>
      <w:r>
        <w:rPr>
          <w:rFonts w:hint="eastAsia" w:ascii="Times New Roman" w:hAnsi="Times New Roman" w:eastAsia="方正小标宋简体"/>
          <w:b w:val="0"/>
          <w:bCs/>
          <w:color w:val="000000" w:themeColor="text1"/>
          <w:sz w:val="44"/>
          <w:szCs w:val="44"/>
          <w14:textFill>
            <w14:solidFill>
              <w14:schemeClr w14:val="tx1"/>
            </w14:solidFill>
          </w14:textFill>
        </w:rPr>
        <w:t>对口帮扶清远市清新区、阳山县</w:t>
      </w:r>
      <w:bookmarkEnd w:id="0"/>
    </w:p>
    <w:p>
      <w:pPr>
        <w:snapToGrid w:val="0"/>
        <w:spacing w:line="600" w:lineRule="exact"/>
        <w:ind w:firstLine="0" w:firstLineChars="0"/>
        <w:jc w:val="center"/>
        <w:rPr>
          <w:rFonts w:eastAsia="方正小标宋简体"/>
          <w:b w:val="0"/>
          <w:bCs/>
          <w:color w:val="000000" w:themeColor="text1"/>
          <w:sz w:val="44"/>
          <w:szCs w:val="44"/>
          <w14:textFill>
            <w14:solidFill>
              <w14:schemeClr w14:val="tx1"/>
            </w14:solidFill>
          </w14:textFill>
        </w:rPr>
      </w:pPr>
      <w:r>
        <w:rPr>
          <w:rFonts w:eastAsia="方正小标宋简体"/>
          <w:b w:val="0"/>
          <w:bCs/>
          <w:color w:val="000000" w:themeColor="text1"/>
          <w:sz w:val="44"/>
          <w:szCs w:val="44"/>
          <w14:textFill>
            <w14:solidFill>
              <w14:schemeClr w14:val="tx1"/>
            </w14:solidFill>
          </w14:textFill>
        </w:rPr>
        <w:t>专项资金绩效重点评价</w:t>
      </w:r>
      <w:r>
        <w:rPr>
          <w:rFonts w:hint="eastAsia" w:eastAsia="方正小标宋简体"/>
          <w:b w:val="0"/>
          <w:bCs/>
          <w:color w:val="000000" w:themeColor="text1"/>
          <w:sz w:val="44"/>
          <w:szCs w:val="44"/>
          <w14:textFill>
            <w14:solidFill>
              <w14:schemeClr w14:val="tx1"/>
            </w14:solidFill>
          </w14:textFill>
        </w:rPr>
        <w:t>简要</w:t>
      </w:r>
      <w:r>
        <w:rPr>
          <w:rFonts w:eastAsia="方正小标宋简体"/>
          <w:b w:val="0"/>
          <w:bCs/>
          <w:color w:val="000000" w:themeColor="text1"/>
          <w:sz w:val="44"/>
          <w:szCs w:val="44"/>
          <w14:textFill>
            <w14:solidFill>
              <w14:schemeClr w14:val="tx1"/>
            </w14:solidFill>
          </w14:textFill>
        </w:rPr>
        <w:t>报告</w:t>
      </w:r>
    </w:p>
    <w:p>
      <w:pPr>
        <w:ind w:firstLine="0" w:firstLineChars="0"/>
        <w:jc w:val="center"/>
        <w:rPr>
          <w:color w:val="000000" w:themeColor="text1"/>
          <w14:textFill>
            <w14:solidFill>
              <w14:schemeClr w14:val="tx1"/>
            </w14:solidFill>
          </w14:textFill>
        </w:rPr>
      </w:pPr>
      <w:r>
        <w:rPr>
          <w:color w:val="000000" w:themeColor="text1"/>
          <w14:textFill>
            <w14:solidFill>
              <w14:schemeClr w14:val="tx1"/>
            </w14:solidFill>
          </w14:textFill>
        </w:rPr>
        <w:t>致同会计师事务所（特殊普通合伙）广州分所</w:t>
      </w:r>
    </w:p>
    <w:p>
      <w:pPr>
        <w:pStyle w:val="3"/>
        <w:ind w:firstLine="640"/>
        <w:rPr>
          <w:color w:val="000000" w:themeColor="text1"/>
          <w14:textFill>
            <w14:solidFill>
              <w14:schemeClr w14:val="tx1"/>
            </w14:solidFill>
          </w14:textFill>
        </w:rPr>
      </w:pPr>
      <w:bookmarkStart w:id="1" w:name="_Toc19029256"/>
      <w:bookmarkStart w:id="2" w:name="_Toc19050195"/>
      <w:bookmarkStart w:id="3" w:name="_Toc16507566"/>
      <w:bookmarkStart w:id="4" w:name="_Toc51229937"/>
    </w:p>
    <w:p>
      <w:pPr>
        <w:pStyle w:val="3"/>
        <w:ind w:firstLine="640"/>
        <w:rPr>
          <w:color w:val="000000" w:themeColor="text1"/>
          <w14:textFill>
            <w14:solidFill>
              <w14:schemeClr w14:val="tx1"/>
            </w14:solidFill>
          </w14:textFill>
        </w:rPr>
      </w:pPr>
      <w:r>
        <w:rPr>
          <w:color w:val="000000" w:themeColor="text1"/>
          <w14:textFill>
            <w14:solidFill>
              <w14:schemeClr w14:val="tx1"/>
            </w14:solidFill>
          </w14:textFill>
        </w:rPr>
        <w:t>一、</w:t>
      </w:r>
      <w:bookmarkEnd w:id="1"/>
      <w:bookmarkEnd w:id="2"/>
      <w:bookmarkEnd w:id="3"/>
      <w:r>
        <w:rPr>
          <w:rFonts w:hint="eastAsia"/>
          <w:color w:val="000000" w:themeColor="text1"/>
          <w14:textFill>
            <w14:solidFill>
              <w14:schemeClr w14:val="tx1"/>
            </w14:solidFill>
          </w14:textFill>
        </w:rPr>
        <w:t>项目基本情况</w:t>
      </w:r>
      <w:bookmarkEnd w:id="4"/>
    </w:p>
    <w:p>
      <w:pPr>
        <w:pStyle w:val="4"/>
        <w:ind w:firstLine="640"/>
        <w:rPr>
          <w:color w:val="000000" w:themeColor="text1"/>
          <w14:textFill>
            <w14:solidFill>
              <w14:schemeClr w14:val="tx1"/>
            </w14:solidFill>
          </w14:textFill>
        </w:rPr>
      </w:pPr>
      <w:bookmarkStart w:id="5" w:name="_Toc19029257"/>
      <w:bookmarkStart w:id="6" w:name="_Toc51229939"/>
      <w:bookmarkStart w:id="7" w:name="_Toc16507567"/>
      <w:bookmarkStart w:id="8" w:name="_Toc19050196"/>
      <w:r>
        <w:rPr>
          <w:color w:val="000000" w:themeColor="text1"/>
          <w14:textFill>
            <w14:solidFill>
              <w14:schemeClr w14:val="tx1"/>
            </w14:solidFill>
          </w14:textFill>
        </w:rPr>
        <w:t>（</w:t>
      </w:r>
      <w:r>
        <w:rPr>
          <w:rFonts w:hint="eastAsia"/>
          <w:color w:val="000000" w:themeColor="text1"/>
          <w14:textFill>
            <w14:solidFill>
              <w14:schemeClr w14:val="tx1"/>
            </w14:solidFill>
          </w14:textFill>
        </w:rPr>
        <w:t>一</w:t>
      </w:r>
      <w:r>
        <w:rPr>
          <w:color w:val="000000" w:themeColor="text1"/>
          <w14:textFill>
            <w14:solidFill>
              <w14:schemeClr w14:val="tx1"/>
            </w14:solidFill>
          </w14:textFill>
        </w:rPr>
        <w:t>）项目背景</w:t>
      </w:r>
      <w:bookmarkEnd w:id="5"/>
      <w:bookmarkEnd w:id="6"/>
      <w:bookmarkEnd w:id="7"/>
      <w:bookmarkEnd w:id="8"/>
    </w:p>
    <w:p>
      <w:pPr>
        <w:ind w:firstLine="640"/>
      </w:pPr>
      <w:r>
        <w:rPr>
          <w:rFonts w:hint="eastAsia"/>
        </w:rPr>
        <w:t>根据《广州—清远对口帮扶总体工作方案（2013—2020）》、《广州对口帮扶清远（市、区）帮扶资金使用管理办法》（广州对口帮扶清远指挥部〔2014〕36号）、《关于广州对口帮扶清远（市、区）帮扶资金使用管理办法的补充规定》（广清指〔2015〕6号）等文件要求，建立区县结对帮扶机制，花都区对点帮扶清远市清新区、阳山县，对每个被帮扶县（市、区）每年安排不少于1,</w:t>
      </w:r>
      <w:r>
        <w:t>000</w:t>
      </w:r>
      <w:r>
        <w:rPr>
          <w:rFonts w:hint="eastAsia"/>
        </w:rPr>
        <w:t>万元对口帮扶资金。</w:t>
      </w:r>
    </w:p>
    <w:p>
      <w:pPr>
        <w:pStyle w:val="4"/>
        <w:ind w:firstLine="640"/>
        <w:rPr>
          <w:rFonts w:cs="Times New Roman"/>
          <w:color w:val="000000" w:themeColor="text1"/>
          <w14:textFill>
            <w14:solidFill>
              <w14:schemeClr w14:val="tx1"/>
            </w14:solidFill>
          </w14:textFill>
        </w:rPr>
      </w:pPr>
      <w:bookmarkStart w:id="9" w:name="_Toc19050199"/>
      <w:bookmarkStart w:id="10" w:name="_Toc18652679"/>
      <w:bookmarkStart w:id="11" w:name="_Toc51229940"/>
      <w:bookmarkStart w:id="12" w:name="_Toc19029260"/>
      <w:bookmarkStart w:id="13" w:name="_Toc19029259"/>
      <w:bookmarkStart w:id="14" w:name="_Toc16507569"/>
      <w:bookmarkStart w:id="15" w:name="_Toc19050198"/>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二</w:t>
      </w:r>
      <w:r>
        <w:rPr>
          <w:rFonts w:cs="Times New Roman"/>
          <w:color w:val="000000" w:themeColor="text1"/>
          <w14:textFill>
            <w14:solidFill>
              <w14:schemeClr w14:val="tx1"/>
            </w14:solidFill>
          </w14:textFill>
        </w:rPr>
        <w:t>）项目实施概况</w:t>
      </w:r>
      <w:bookmarkEnd w:id="9"/>
      <w:bookmarkEnd w:id="10"/>
      <w:bookmarkEnd w:id="11"/>
      <w:bookmarkEnd w:id="12"/>
    </w:p>
    <w:p>
      <w:pPr>
        <w:pStyle w:val="5"/>
        <w:ind w:firstLine="643"/>
        <w:rPr>
          <w:color w:val="000000" w:themeColor="text1"/>
          <w14:textFill>
            <w14:solidFill>
              <w14:schemeClr w14:val="tx1"/>
            </w14:solidFill>
          </w14:textFill>
        </w:rPr>
      </w:pPr>
      <w:bookmarkStart w:id="16" w:name="_Toc19029261"/>
      <w:r>
        <w:rPr>
          <w:color w:val="000000" w:themeColor="text1"/>
          <w14:textFill>
            <w14:solidFill>
              <w14:schemeClr w14:val="tx1"/>
            </w14:solidFill>
          </w14:textFill>
        </w:rPr>
        <w:t>1.资金使用情况</w:t>
      </w:r>
      <w:bookmarkEnd w:id="16"/>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项目预算资金</w:t>
      </w:r>
      <w:r>
        <w:rPr>
          <w:color w:val="000000" w:themeColor="text1"/>
          <w14:textFill>
            <w14:solidFill>
              <w14:schemeClr w14:val="tx1"/>
            </w14:solidFill>
          </w14:textFill>
        </w:rPr>
        <w:t>2,078.9</w:t>
      </w:r>
      <w:r>
        <w:rPr>
          <w:rFonts w:hint="eastAsia"/>
          <w:color w:val="000000" w:themeColor="text1"/>
          <w14:textFill>
            <w14:solidFill>
              <w14:schemeClr w14:val="tx1"/>
            </w14:solidFill>
          </w14:textFill>
        </w:rPr>
        <w:t>0万元，年中调减6</w:t>
      </w:r>
      <w:r>
        <w:rPr>
          <w:color w:val="000000" w:themeColor="text1"/>
          <w14:textFill>
            <w14:solidFill>
              <w14:schemeClr w14:val="tx1"/>
            </w14:solidFill>
          </w14:textFill>
        </w:rPr>
        <w:t>4.5</w:t>
      </w:r>
      <w:r>
        <w:rPr>
          <w:rFonts w:hint="eastAsia"/>
          <w:color w:val="000000" w:themeColor="text1"/>
          <w14:textFill>
            <w14:solidFill>
              <w14:schemeClr w14:val="tx1"/>
            </w14:solidFill>
          </w14:textFill>
        </w:rPr>
        <w:t>0万元，预算调整数2</w:t>
      </w:r>
      <w:r>
        <w:rPr>
          <w:color w:val="000000" w:themeColor="text1"/>
          <w14:textFill>
            <w14:solidFill>
              <w14:schemeClr w14:val="tx1"/>
            </w14:solidFill>
          </w14:textFill>
        </w:rPr>
        <w:t>,014.4</w:t>
      </w:r>
      <w:r>
        <w:rPr>
          <w:rFonts w:hint="eastAsia"/>
          <w:color w:val="000000" w:themeColor="text1"/>
          <w14:textFill>
            <w14:solidFill>
              <w14:schemeClr w14:val="tx1"/>
            </w14:solidFill>
          </w14:textFill>
        </w:rPr>
        <w:t>0万元。到位资金2</w:t>
      </w:r>
      <w:r>
        <w:rPr>
          <w:color w:val="000000" w:themeColor="text1"/>
          <w14:textFill>
            <w14:solidFill>
              <w14:schemeClr w14:val="tx1"/>
            </w14:solidFill>
          </w14:textFill>
        </w:rPr>
        <w:t>,014.4</w:t>
      </w:r>
      <w:r>
        <w:rPr>
          <w:rFonts w:hint="eastAsia"/>
          <w:color w:val="000000" w:themeColor="text1"/>
          <w14:textFill>
            <w14:solidFill>
              <w14:schemeClr w14:val="tx1"/>
            </w14:solidFill>
          </w14:textFill>
        </w:rPr>
        <w:t>0万元，实际支出资金1,0</w:t>
      </w:r>
      <w:r>
        <w:rPr>
          <w:color w:val="000000" w:themeColor="text1"/>
          <w14:textFill>
            <w14:solidFill>
              <w14:schemeClr w14:val="tx1"/>
            </w14:solidFill>
          </w14:textFill>
        </w:rPr>
        <w:t>58.2</w:t>
      </w:r>
      <w:r>
        <w:rPr>
          <w:rFonts w:hint="eastAsia"/>
          <w:color w:val="000000" w:themeColor="text1"/>
          <w14:textFill>
            <w14:solidFill>
              <w14:schemeClr w14:val="tx1"/>
            </w14:solidFill>
          </w14:textFill>
        </w:rPr>
        <w:t>0万元，资金支付率5</w:t>
      </w:r>
      <w:r>
        <w:rPr>
          <w:color w:val="000000" w:themeColor="text1"/>
          <w14:textFill>
            <w14:solidFill>
              <w14:schemeClr w14:val="tx1"/>
            </w14:solidFill>
          </w14:textFill>
        </w:rPr>
        <w:t>2.53</w:t>
      </w:r>
      <w:r>
        <w:rPr>
          <w:rFonts w:hint="eastAsia"/>
          <w:color w:val="000000" w:themeColor="text1"/>
          <w14:textFill>
            <w14:solidFill>
              <w14:schemeClr w14:val="tx1"/>
            </w14:solidFill>
          </w14:textFill>
        </w:rPr>
        <w:t>%。</w:t>
      </w:r>
    </w:p>
    <w:p>
      <w:pPr>
        <w:pStyle w:val="5"/>
        <w:ind w:firstLine="643"/>
      </w:pPr>
      <w:bookmarkStart w:id="17" w:name="_Toc19029262"/>
      <w:r>
        <w:t>2.项目实施情况</w:t>
      </w:r>
      <w:bookmarkEnd w:id="17"/>
    </w:p>
    <w:p>
      <w:pPr>
        <w:ind w:firstLine="640"/>
      </w:pPr>
      <w:r>
        <w:rPr>
          <w:rFonts w:hint="eastAsia"/>
          <w:lang w:val="zh-CN" w:bidi="zh-CN"/>
        </w:rPr>
        <w:t>2</w:t>
      </w:r>
      <w:r>
        <w:rPr>
          <w:lang w:val="zh-CN" w:bidi="zh-CN"/>
        </w:rPr>
        <w:t>019</w:t>
      </w:r>
      <w:r>
        <w:rPr>
          <w:rFonts w:hint="eastAsia"/>
          <w:lang w:val="zh-CN" w:bidi="zh-CN"/>
        </w:rPr>
        <w:t>年度，花都区共帮扶清远市清新区山塘镇新兴村中心小学外路灯护栏等2</w:t>
      </w:r>
      <w:r>
        <w:rPr>
          <w:lang w:val="zh-CN" w:bidi="zh-CN"/>
        </w:rPr>
        <w:t>2</w:t>
      </w:r>
      <w:r>
        <w:rPr>
          <w:rFonts w:hint="eastAsia"/>
          <w:lang w:val="zh-CN" w:bidi="zh-CN"/>
        </w:rPr>
        <w:t>个子项目，阳山县花阳小学建设、“产业共建”帮扶、“民生社会事业”帮扶、阳山县“三个全域两大攻坚”四个子项目。</w:t>
      </w:r>
      <w:r>
        <w:rPr>
          <w:rFonts w:hint="eastAsia"/>
          <w:color w:val="000000" w:themeColor="text1"/>
          <w14:textFill>
            <w14:solidFill>
              <w14:schemeClr w14:val="tx1"/>
            </w14:solidFill>
          </w14:textFill>
        </w:rPr>
        <w:t>花都区帮扶清新区项目2</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个，合计完成1</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个，帮扶阳山县项目4个，合计完成3个，项目完成度8</w:t>
      </w:r>
      <w:r>
        <w:rPr>
          <w:color w:val="000000" w:themeColor="text1"/>
          <w14:textFill>
            <w14:solidFill>
              <w14:schemeClr w14:val="tx1"/>
            </w14:solidFill>
          </w14:textFill>
        </w:rPr>
        <w:t>4.62</w:t>
      </w:r>
      <w:r>
        <w:rPr>
          <w:rFonts w:hint="eastAsia"/>
          <w:color w:val="000000" w:themeColor="text1"/>
          <w14:textFill>
            <w14:solidFill>
              <w14:schemeClr w14:val="tx1"/>
            </w14:solidFill>
          </w14:textFill>
        </w:rPr>
        <w:t>%。</w:t>
      </w:r>
    </w:p>
    <w:p>
      <w:pPr>
        <w:pStyle w:val="4"/>
        <w:ind w:firstLine="640"/>
        <w:rPr>
          <w:rFonts w:cs="Times New Roman"/>
          <w:color w:val="000000" w:themeColor="text1"/>
          <w14:textFill>
            <w14:solidFill>
              <w14:schemeClr w14:val="tx1"/>
            </w14:solidFill>
          </w14:textFill>
        </w:rPr>
      </w:pPr>
      <w:bookmarkStart w:id="18" w:name="_Toc51229941"/>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三</w:t>
      </w:r>
      <w:r>
        <w:rPr>
          <w:rFonts w:cs="Times New Roman"/>
          <w:color w:val="000000" w:themeColor="text1"/>
          <w14:textFill>
            <w14:solidFill>
              <w14:schemeClr w14:val="tx1"/>
            </w14:solidFill>
          </w14:textFill>
        </w:rPr>
        <w:t>）项目绩效目标</w:t>
      </w:r>
      <w:bookmarkEnd w:id="13"/>
      <w:bookmarkEnd w:id="14"/>
      <w:bookmarkEnd w:id="15"/>
      <w:r>
        <w:rPr>
          <w:rFonts w:hint="eastAsia" w:cs="Times New Roman"/>
          <w:color w:val="000000" w:themeColor="text1"/>
          <w14:textFill>
            <w14:solidFill>
              <w14:schemeClr w14:val="tx1"/>
            </w14:solidFill>
          </w14:textFill>
        </w:rPr>
        <w:t>及完成情况</w:t>
      </w:r>
      <w:bookmarkEnd w:id="18"/>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根据项目年初绩效目标申报情况，项目设置绩效总目标及年度绩效目标，但总绩效指标及年度绩效指标完全一致，为“推动被帮扶地区基础设施、产业园区、新区建设、生态文明建设、社会民生事业的建设工作</w:t>
      </w:r>
      <w:bookmarkStart w:id="43" w:name="_GoBack"/>
      <w:bookmarkEnd w:id="43"/>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。合计设置绩效指标</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个，指标完成率1</w:t>
      </w:r>
      <w:r>
        <w:rPr>
          <w:color w:val="000000" w:themeColor="text1"/>
          <w14:textFill>
            <w14:solidFill>
              <w14:schemeClr w14:val="tx1"/>
            </w14:solidFill>
          </w14:textFill>
        </w:rPr>
        <w:t>00</w:t>
      </w:r>
      <w:r>
        <w:rPr>
          <w:rFonts w:hint="eastAsia"/>
          <w:color w:val="000000" w:themeColor="text1"/>
          <w14:textFill>
            <w14:solidFill>
              <w14:schemeClr w14:val="tx1"/>
            </w14:solidFill>
          </w14:textFill>
        </w:rPr>
        <w:t>%。</w:t>
      </w:r>
    </w:p>
    <w:p>
      <w:pPr>
        <w:pStyle w:val="4"/>
        <w:ind w:firstLine="640"/>
        <w:rPr>
          <w:rFonts w:cs="Times New Roman"/>
          <w:color w:val="000000" w:themeColor="text1"/>
          <w14:textFill>
            <w14:solidFill>
              <w14:schemeClr w14:val="tx1"/>
            </w14:solidFill>
          </w14:textFill>
        </w:rPr>
      </w:pPr>
      <w:bookmarkStart w:id="19" w:name="_Toc51229948"/>
      <w:bookmarkStart w:id="20" w:name="_Toc19029277"/>
      <w:bookmarkStart w:id="21" w:name="_Toc16507576"/>
      <w:bookmarkStart w:id="22" w:name="_Toc19050206"/>
      <w:r>
        <w:rPr>
          <w:rFonts w:cs="Times New Roman"/>
          <w:color w:val="000000" w:themeColor="text1"/>
          <w14:textFill>
            <w14:solidFill>
              <w14:schemeClr w14:val="tx1"/>
            </w14:solidFill>
          </w14:textFill>
        </w:rPr>
        <w:t>（</w:t>
      </w:r>
      <w:r>
        <w:rPr>
          <w:rFonts w:hint="eastAsia" w:cs="Times New Roman"/>
          <w:color w:val="000000" w:themeColor="text1"/>
          <w14:textFill>
            <w14:solidFill>
              <w14:schemeClr w14:val="tx1"/>
            </w14:solidFill>
          </w14:textFill>
        </w:rPr>
        <w:t>四</w:t>
      </w:r>
      <w:r>
        <w:rPr>
          <w:rFonts w:cs="Times New Roman"/>
          <w:color w:val="000000" w:themeColor="text1"/>
          <w14:textFill>
            <w14:solidFill>
              <w14:schemeClr w14:val="tx1"/>
            </w14:solidFill>
          </w14:textFill>
        </w:rPr>
        <w:t>）评价结果</w:t>
      </w:r>
      <w:bookmarkEnd w:id="19"/>
      <w:bookmarkEnd w:id="20"/>
      <w:bookmarkEnd w:id="21"/>
      <w:bookmarkEnd w:id="22"/>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本次评价采用成本效益分析法、目标结果比较法、因素分析法、公众评判法、穿行测试法等方法，围绕项目安排、管理、绩效、可持续性等方面实施评价，项目绩效评价等级为“良”。</w:t>
      </w:r>
    </w:p>
    <w:p>
      <w:pPr>
        <w:pStyle w:val="3"/>
        <w:ind w:firstLine="640"/>
        <w:rPr>
          <w:color w:val="000000" w:themeColor="text1"/>
          <w14:textFill>
            <w14:solidFill>
              <w14:schemeClr w14:val="tx1"/>
            </w14:solidFill>
          </w14:textFill>
        </w:rPr>
      </w:pPr>
      <w:bookmarkStart w:id="23" w:name="_Toc16507578"/>
      <w:bookmarkStart w:id="24" w:name="_Toc19050208"/>
      <w:bookmarkStart w:id="25" w:name="_Toc19029283"/>
      <w:bookmarkStart w:id="26" w:name="_Toc51229950"/>
      <w:r>
        <w:rPr>
          <w:rFonts w:hint="eastAsia"/>
          <w:color w:val="000000" w:themeColor="text1"/>
          <w14:textFill>
            <w14:solidFill>
              <w14:schemeClr w14:val="tx1"/>
            </w14:solidFill>
          </w14:textFill>
        </w:rPr>
        <w:t>二</w:t>
      </w:r>
      <w:r>
        <w:rPr>
          <w:color w:val="000000" w:themeColor="text1"/>
          <w14:textFill>
            <w14:solidFill>
              <w14:schemeClr w14:val="tx1"/>
            </w14:solidFill>
          </w14:textFill>
        </w:rPr>
        <w:t>、主要绩效</w:t>
      </w:r>
      <w:bookmarkEnd w:id="23"/>
      <w:bookmarkEnd w:id="24"/>
      <w:bookmarkEnd w:id="25"/>
      <w:bookmarkEnd w:id="26"/>
    </w:p>
    <w:p>
      <w:pPr>
        <w:pStyle w:val="4"/>
        <w:ind w:firstLine="640"/>
        <w:rPr>
          <w:color w:val="000000" w:themeColor="text1"/>
          <w14:textFill>
            <w14:solidFill>
              <w14:schemeClr w14:val="tx1"/>
            </w14:solidFill>
          </w14:textFill>
        </w:rPr>
      </w:pPr>
      <w:bookmarkStart w:id="27" w:name="_Toc51229951"/>
      <w:r>
        <w:rPr>
          <w:rFonts w:hint="eastAsia"/>
          <w:color w:val="000000" w:themeColor="text1"/>
          <w14:textFill>
            <w14:solidFill>
              <w14:schemeClr w14:val="tx1"/>
            </w14:solidFill>
          </w14:textFill>
        </w:rPr>
        <w:t>（一）丰富推介模式，提高产品宣传、销售效益</w:t>
      </w:r>
      <w:bookmarkEnd w:id="27"/>
    </w:p>
    <w:p>
      <w:pPr>
        <w:ind w:firstLine="640"/>
      </w:pPr>
      <w:r>
        <w:rPr>
          <w:rFonts w:hint="eastAsia"/>
        </w:rPr>
        <w:t>通过产业共建平台建设，进一步深入探索广清两地消费扶贫模式，为清远贫困村农户提供农业种养的产供销全链条赋能服务。广清两地夯实覆盖清远农村的产业服务网络和覆盖广州城区的产品展销网络，实现优势互补、资源共享、多方共赢。</w:t>
      </w:r>
    </w:p>
    <w:p>
      <w:pPr>
        <w:pStyle w:val="4"/>
        <w:ind w:firstLine="640"/>
        <w:rPr>
          <w:color w:val="000000" w:themeColor="text1"/>
          <w14:textFill>
            <w14:solidFill>
              <w14:schemeClr w14:val="tx1"/>
            </w14:solidFill>
          </w14:textFill>
        </w:rPr>
      </w:pPr>
      <w:bookmarkStart w:id="28" w:name="_Toc51229952"/>
      <w:r>
        <w:rPr>
          <w:rFonts w:hint="eastAsia"/>
          <w:color w:val="000000" w:themeColor="text1"/>
          <w14:textFill>
            <w14:solidFill>
              <w14:schemeClr w14:val="tx1"/>
            </w14:solidFill>
          </w14:textFill>
        </w:rPr>
        <w:t>（二）重视以民生社会事业为重点的帮扶工作，助力打赢脱贫攻坚战</w:t>
      </w:r>
      <w:bookmarkEnd w:id="28"/>
    </w:p>
    <w:p>
      <w:pPr>
        <w:ind w:firstLine="640"/>
      </w:pPr>
      <w:r>
        <w:rPr>
          <w:rFonts w:hint="eastAsia"/>
        </w:rPr>
        <w:t>通过人才交流、卫生帮扶、教育支持、公益帮扶等方式，重视以民生社会事业为重点的帮扶工作，在帮扶项目立项过程，充分考虑对当地教育、医疗、文化服务质量的提升作用，实施并完成基层卫生院疼痛康复中心建设、乡镇中小学校车运营等项目的完成，对提升清新区及阳山县民政、教育服务水平有一定的作用，有效助力打赢脱贫攻坚战。</w:t>
      </w:r>
    </w:p>
    <w:p>
      <w:pPr>
        <w:pStyle w:val="3"/>
        <w:ind w:firstLine="640"/>
        <w:rPr>
          <w:color w:val="000000" w:themeColor="text1"/>
          <w14:textFill>
            <w14:solidFill>
              <w14:schemeClr w14:val="tx1"/>
            </w14:solidFill>
          </w14:textFill>
        </w:rPr>
      </w:pPr>
      <w:bookmarkStart w:id="29" w:name="_Toc16507582"/>
      <w:bookmarkStart w:id="30" w:name="_Toc51229953"/>
      <w:bookmarkStart w:id="31" w:name="_Toc19050212"/>
      <w:bookmarkStart w:id="32" w:name="_Toc19029287"/>
      <w:r>
        <w:rPr>
          <w:rFonts w:hint="eastAsia"/>
          <w:color w:val="000000" w:themeColor="text1"/>
          <w14:textFill>
            <w14:solidFill>
              <w14:schemeClr w14:val="tx1"/>
            </w14:solidFill>
          </w14:textFill>
        </w:rPr>
        <w:t>三</w:t>
      </w:r>
      <w:r>
        <w:rPr>
          <w:color w:val="000000" w:themeColor="text1"/>
          <w14:textFill>
            <w14:solidFill>
              <w14:schemeClr w14:val="tx1"/>
            </w14:solidFill>
          </w14:textFill>
        </w:rPr>
        <w:t>、存在问题</w:t>
      </w:r>
      <w:bookmarkEnd w:id="29"/>
      <w:bookmarkEnd w:id="30"/>
      <w:bookmarkEnd w:id="31"/>
      <w:bookmarkEnd w:id="32"/>
    </w:p>
    <w:p>
      <w:pPr>
        <w:pStyle w:val="4"/>
        <w:ind w:firstLine="640"/>
        <w:rPr>
          <w:color w:val="000000" w:themeColor="text1"/>
          <w14:textFill>
            <w14:solidFill>
              <w14:schemeClr w14:val="tx1"/>
            </w14:solidFill>
          </w14:textFill>
        </w:rPr>
      </w:pPr>
      <w:bookmarkStart w:id="33" w:name="_Toc51229954"/>
      <w:r>
        <w:rPr>
          <w:rFonts w:hint="eastAsia"/>
          <w:color w:val="000000" w:themeColor="text1"/>
          <w14:textFill>
            <w14:solidFill>
              <w14:schemeClr w14:val="tx1"/>
            </w14:solidFill>
          </w14:textFill>
        </w:rPr>
        <w:t>（一）部分项目完成情况存在滞后，项目前期工作开展不够完善</w:t>
      </w:r>
      <w:bookmarkEnd w:id="33"/>
    </w:p>
    <w:p>
      <w:pPr>
        <w:ind w:firstLine="640"/>
        <w:rPr>
          <w:b/>
          <w:color w:val="000000" w:themeColor="text1"/>
          <w14:textFill>
            <w14:solidFill>
              <w14:schemeClr w14:val="tx1"/>
            </w14:solidFill>
          </w14:textFill>
        </w:rPr>
      </w:pPr>
      <w:r>
        <w:rPr>
          <w:rFonts w:hint="eastAsia"/>
          <w:color w:val="000000" w:themeColor="text1"/>
          <w14:textFill>
            <w14:solidFill>
              <w14:schemeClr w14:val="tx1"/>
            </w14:solidFill>
          </w14:textFill>
        </w:rPr>
        <w:t>项目前期规划不够完善，存在部分项目未能按照计划进度实施的现象，影响项目产出效益的发挥。2</w:t>
      </w:r>
      <w:r>
        <w:rPr>
          <w:color w:val="000000" w:themeColor="text1"/>
          <w14:textFill>
            <w14:solidFill>
              <w14:schemeClr w14:val="tx1"/>
            </w14:solidFill>
          </w14:textFill>
        </w:rPr>
        <w:t>019</w:t>
      </w:r>
      <w:r>
        <w:rPr>
          <w:rFonts w:hint="eastAsia"/>
          <w:color w:val="000000" w:themeColor="text1"/>
          <w14:textFill>
            <w14:solidFill>
              <w14:schemeClr w14:val="tx1"/>
            </w14:solidFill>
          </w14:textFill>
        </w:rPr>
        <w:t>年度，花都区帮扶清新区项目2</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个，合计完成1</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个，帮扶阳山县项目4个，合计完成3个，项目完成度8</w:t>
      </w:r>
      <w:r>
        <w:rPr>
          <w:color w:val="000000" w:themeColor="text1"/>
          <w14:textFill>
            <w14:solidFill>
              <w14:schemeClr w14:val="tx1"/>
            </w14:solidFill>
          </w14:textFill>
        </w:rPr>
        <w:t>4.62</w:t>
      </w:r>
      <w:r>
        <w:rPr>
          <w:rFonts w:hint="eastAsia"/>
          <w:color w:val="000000" w:themeColor="text1"/>
          <w14:textFill>
            <w14:solidFill>
              <w14:schemeClr w14:val="tx1"/>
            </w14:solidFill>
          </w14:textFill>
        </w:rPr>
        <w:t>%。</w:t>
      </w:r>
    </w:p>
    <w:p>
      <w:pPr>
        <w:pStyle w:val="4"/>
        <w:ind w:firstLine="640"/>
        <w:rPr>
          <w:color w:val="000000" w:themeColor="text1"/>
          <w14:textFill>
            <w14:solidFill>
              <w14:schemeClr w14:val="tx1"/>
            </w14:solidFill>
          </w14:textFill>
        </w:rPr>
      </w:pPr>
      <w:bookmarkStart w:id="34" w:name="_Toc51229955"/>
      <w:r>
        <w:rPr>
          <w:rFonts w:hint="eastAsia"/>
        </w:rPr>
        <w:t>（二）部分项目管理过程规范性不足，缺少留痕意识</w:t>
      </w:r>
      <w:bookmarkEnd w:id="34"/>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部分项目管理过程规范性不足，存在政府采购流程不规范、项目实施过程缺少资料留痕意识的现象。具体表现在：</w:t>
      </w:r>
      <w:r>
        <w:rPr>
          <w:rFonts w:hint="eastAsia"/>
          <w:b/>
          <w:color w:val="000000" w:themeColor="text1"/>
          <w14:textFill>
            <w14:solidFill>
              <w14:schemeClr w14:val="tx1"/>
            </w14:solidFill>
          </w14:textFill>
        </w:rPr>
        <w:t>一是</w:t>
      </w:r>
      <w:r>
        <w:rPr>
          <w:rFonts w:hint="eastAsia"/>
          <w:color w:val="000000" w:themeColor="text1"/>
          <w14:textFill>
            <w14:solidFill>
              <w14:schemeClr w14:val="tx1"/>
            </w14:solidFill>
          </w14:textFill>
        </w:rPr>
        <w:t>政府购买服务采购过程未进行招投标及三方比价；</w:t>
      </w:r>
      <w:r>
        <w:rPr>
          <w:rFonts w:hint="eastAsia"/>
          <w:b/>
          <w:color w:val="000000" w:themeColor="text1"/>
          <w14:textFill>
            <w14:solidFill>
              <w14:schemeClr w14:val="tx1"/>
            </w14:solidFill>
          </w14:textFill>
        </w:rPr>
        <w:t>二是</w:t>
      </w:r>
      <w:r>
        <w:rPr>
          <w:rFonts w:hint="eastAsia"/>
          <w:color w:val="000000" w:themeColor="text1"/>
          <w14:textFill>
            <w14:solidFill>
              <w14:schemeClr w14:val="tx1"/>
            </w14:solidFill>
          </w14:textFill>
        </w:rPr>
        <w:t>项目实施过程缺少资料留痕意识，不利于项目监督检查及后期验收、考核。</w:t>
      </w:r>
    </w:p>
    <w:p>
      <w:pPr>
        <w:pStyle w:val="4"/>
        <w:ind w:firstLine="640"/>
        <w:rPr>
          <w:color w:val="000000" w:themeColor="text1"/>
          <w14:textFill>
            <w14:solidFill>
              <w14:schemeClr w14:val="tx1"/>
            </w14:solidFill>
          </w14:textFill>
        </w:rPr>
      </w:pPr>
      <w:bookmarkStart w:id="35" w:name="_Toc51229956"/>
      <w:r>
        <w:rPr>
          <w:rFonts w:hint="eastAsia"/>
          <w:color w:val="000000" w:themeColor="text1"/>
          <w14:textFill>
            <w14:solidFill>
              <w14:schemeClr w14:val="tx1"/>
            </w14:solidFill>
          </w14:textFill>
        </w:rPr>
        <w:t>（三）监管责任落实不够到位，缺少对项目实施的过程监督</w:t>
      </w:r>
      <w:bookmarkEnd w:id="35"/>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区科技工业商务信息化局未能落实主管责任，对前方派驻工作队督导、指导力度不够。导致前方派驻工作队对于各帮扶项目的实施情况缺少过程管控。区科技工业商务信息化局未能落实帮扶主管单位对协作资金的监管责任，仅对资金使用计划进行审核，但对于项目实施进度、过程台账资料均未能督导前方派驻工作队实现核查留档。</w:t>
      </w:r>
    </w:p>
    <w:p>
      <w:pPr>
        <w:pStyle w:val="3"/>
        <w:ind w:firstLine="640"/>
        <w:rPr>
          <w:color w:val="000000" w:themeColor="text1"/>
          <w14:textFill>
            <w14:solidFill>
              <w14:schemeClr w14:val="tx1"/>
            </w14:solidFill>
          </w14:textFill>
        </w:rPr>
      </w:pPr>
      <w:bookmarkStart w:id="36" w:name="_Toc51229957"/>
      <w:bookmarkStart w:id="37" w:name="_Toc19050216"/>
      <w:bookmarkStart w:id="38" w:name="_Toc19029291"/>
      <w:bookmarkStart w:id="39" w:name="_Toc16507586"/>
      <w:r>
        <w:rPr>
          <w:rFonts w:hint="eastAsia"/>
          <w:color w:val="000000" w:themeColor="text1"/>
          <w14:textFill>
            <w14:solidFill>
              <w14:schemeClr w14:val="tx1"/>
            </w14:solidFill>
          </w14:textFill>
        </w:rPr>
        <w:t>四</w:t>
      </w:r>
      <w:r>
        <w:rPr>
          <w:color w:val="000000" w:themeColor="text1"/>
          <w14:textFill>
            <w14:solidFill>
              <w14:schemeClr w14:val="tx1"/>
            </w14:solidFill>
          </w14:textFill>
        </w:rPr>
        <w:t>、相关建议</w:t>
      </w:r>
      <w:bookmarkEnd w:id="36"/>
      <w:bookmarkEnd w:id="37"/>
      <w:bookmarkEnd w:id="38"/>
      <w:bookmarkEnd w:id="39"/>
    </w:p>
    <w:p>
      <w:pPr>
        <w:pStyle w:val="4"/>
        <w:ind w:firstLine="640"/>
        <w:rPr>
          <w:color w:val="000000" w:themeColor="text1"/>
          <w14:textFill>
            <w14:solidFill>
              <w14:schemeClr w14:val="tx1"/>
            </w14:solidFill>
          </w14:textFill>
        </w:rPr>
      </w:pPr>
      <w:bookmarkStart w:id="40" w:name="_Toc51229958"/>
      <w:r>
        <w:rPr>
          <w:rFonts w:hint="eastAsia"/>
          <w:color w:val="000000" w:themeColor="text1"/>
          <w14:textFill>
            <w14:solidFill>
              <w14:schemeClr w14:val="tx1"/>
            </w14:solidFill>
          </w14:textFill>
        </w:rPr>
        <w:t>（一）提高项目规划的科学性及有效性，加强项目实施过程管控</w:t>
      </w:r>
      <w:bookmarkEnd w:id="40"/>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建议各资金使用单位：</w:t>
      </w:r>
      <w:r>
        <w:rPr>
          <w:rFonts w:hint="eastAsia"/>
          <w:b/>
          <w:color w:val="000000" w:themeColor="text1"/>
          <w14:textFill>
            <w14:solidFill>
              <w14:schemeClr w14:val="tx1"/>
            </w14:solidFill>
          </w14:textFill>
        </w:rPr>
        <w:t>一是</w:t>
      </w:r>
      <w:r>
        <w:rPr>
          <w:rFonts w:hint="eastAsia"/>
          <w:color w:val="000000" w:themeColor="text1"/>
          <w14:textFill>
            <w14:solidFill>
              <w14:schemeClr w14:val="tx1"/>
            </w14:solidFill>
          </w14:textFill>
        </w:rPr>
        <w:t>制定项目风险管控制度，在项目实施过程中要加强管理与风险防范，并将项目监督工作落实到位，将实施情况做好记录存档，保障项目安全、有序的进行，确保资金使用效果。</w:t>
      </w:r>
      <w:r>
        <w:rPr>
          <w:rFonts w:hint="eastAsia"/>
          <w:b/>
          <w:color w:val="000000" w:themeColor="text1"/>
          <w14:textFill>
            <w14:solidFill>
              <w14:schemeClr w14:val="tx1"/>
            </w14:solidFill>
          </w14:textFill>
        </w:rPr>
        <w:t>二是</w:t>
      </w:r>
      <w:r>
        <w:rPr>
          <w:rFonts w:hint="eastAsia"/>
          <w:color w:val="000000" w:themeColor="text1"/>
          <w14:textFill>
            <w14:solidFill>
              <w14:schemeClr w14:val="tx1"/>
            </w14:solidFill>
          </w14:textFill>
        </w:rPr>
        <w:t>对于工期延误较久或长期未能落地实施的项目，建议前方派驻工作队联合当地主管部门对项目可行性进行重新论证，对于项目存在问题进行排查，并提出整改要求，对于难以整改的项目，及时叫停，调整项目规划，确保财政资金使用效益得到最大化发挥。</w:t>
      </w:r>
    </w:p>
    <w:p>
      <w:pPr>
        <w:pStyle w:val="4"/>
        <w:ind w:firstLine="640"/>
        <w:rPr>
          <w:color w:val="000000" w:themeColor="text1"/>
          <w14:textFill>
            <w14:solidFill>
              <w14:schemeClr w14:val="tx1"/>
            </w14:solidFill>
          </w14:textFill>
        </w:rPr>
      </w:pPr>
      <w:bookmarkStart w:id="41" w:name="_Toc51229959"/>
      <w:r>
        <w:rPr>
          <w:rFonts w:hint="eastAsia"/>
        </w:rPr>
        <w:t>（二）注重项目实施过程的科学性及规范性，提高项目管理水平</w:t>
      </w:r>
      <w:bookmarkEnd w:id="41"/>
    </w:p>
    <w:p>
      <w:pPr>
        <w:ind w:firstLine="640"/>
        <w:rPr>
          <w:color w:val="000000" w:themeColor="text1"/>
          <w14:textFill>
            <w14:solidFill>
              <w14:schemeClr w14:val="tx1"/>
            </w14:solidFill>
          </w14:textFill>
        </w:rPr>
      </w:pPr>
      <w:r>
        <w:rPr>
          <w:rFonts w:hint="eastAsia"/>
          <w:color w:val="000000" w:themeColor="text1"/>
          <w14:textFill>
            <w14:solidFill>
              <w14:schemeClr w14:val="tx1"/>
            </w14:solidFill>
          </w14:textFill>
        </w:rPr>
        <w:t>加强项目实施过程管理，提高从项目采购-实施-验收流程的规范性。建议各资金使用单位：</w:t>
      </w:r>
      <w:r>
        <w:rPr>
          <w:rFonts w:hint="eastAsia"/>
          <w:b/>
          <w:color w:val="000000" w:themeColor="text1"/>
          <w14:textFill>
            <w14:solidFill>
              <w14:schemeClr w14:val="tx1"/>
            </w14:solidFill>
          </w14:textFill>
        </w:rPr>
        <w:t>一是</w:t>
      </w:r>
      <w:r>
        <w:rPr>
          <w:rFonts w:hint="eastAsia"/>
          <w:color w:val="000000" w:themeColor="text1"/>
          <w14:textFill>
            <w14:solidFill>
              <w14:schemeClr w14:val="tx1"/>
            </w14:solidFill>
          </w14:textFill>
        </w:rPr>
        <w:t>规范项目采购过程，通过政府采购招投标方式选择供应商。</w:t>
      </w:r>
      <w:r>
        <w:rPr>
          <w:rFonts w:hint="eastAsia"/>
          <w:b/>
          <w:color w:val="000000" w:themeColor="text1"/>
          <w14:textFill>
            <w14:solidFill>
              <w14:schemeClr w14:val="tx1"/>
            </w14:solidFill>
          </w14:textFill>
        </w:rPr>
        <w:t>二是</w:t>
      </w:r>
      <w:r>
        <w:rPr>
          <w:rFonts w:hint="eastAsia"/>
          <w:color w:val="000000" w:themeColor="text1"/>
          <w14:textFill>
            <w14:solidFill>
              <w14:schemeClr w14:val="tx1"/>
            </w14:solidFill>
          </w14:textFill>
        </w:rPr>
        <w:t>建议前方派驻工作队联合当地主管部门对项目采购过程进行监督管理，发现政府采购规范性不足的情况及时调整，责成资金使用单位整改。</w:t>
      </w:r>
      <w:r>
        <w:rPr>
          <w:rFonts w:hint="eastAsia"/>
          <w:b/>
          <w:color w:val="000000" w:themeColor="text1"/>
          <w14:textFill>
            <w14:solidFill>
              <w14:schemeClr w14:val="tx1"/>
            </w14:solidFill>
          </w14:textFill>
        </w:rPr>
        <w:t>三是</w:t>
      </w:r>
      <w:r>
        <w:rPr>
          <w:rFonts w:hint="eastAsia"/>
          <w:color w:val="000000" w:themeColor="text1"/>
          <w14:textFill>
            <w14:solidFill>
              <w14:schemeClr w14:val="tx1"/>
            </w14:solidFill>
          </w14:textFill>
        </w:rPr>
        <w:t>项目申请、实施、验收等过程中涉及的材料均应妥善保管，并整理形成档案。</w:t>
      </w:r>
    </w:p>
    <w:p>
      <w:pPr>
        <w:pStyle w:val="4"/>
        <w:ind w:firstLine="640"/>
        <w:rPr>
          <w:color w:val="000000" w:themeColor="text1"/>
          <w14:textFill>
            <w14:solidFill>
              <w14:schemeClr w14:val="tx1"/>
            </w14:solidFill>
          </w14:textFill>
        </w:rPr>
      </w:pPr>
      <w:bookmarkStart w:id="42" w:name="_Toc51229960"/>
      <w:r>
        <w:rPr>
          <w:rFonts w:hint="eastAsia"/>
          <w:color w:val="000000" w:themeColor="text1"/>
          <w14:textFill>
            <w14:solidFill>
              <w14:schemeClr w14:val="tx1"/>
            </w14:solidFill>
          </w14:textFill>
        </w:rPr>
        <w:t>（三）加强项目监督核查，落实前方派驻工作队及帮扶主管单位监控职责</w:t>
      </w:r>
      <w:bookmarkEnd w:id="42"/>
    </w:p>
    <w:p>
      <w:pPr>
        <w:ind w:firstLine="640"/>
      </w:pPr>
      <w:r>
        <w:rPr>
          <w:rFonts w:hint="eastAsia"/>
          <w:color w:val="000000" w:themeColor="text1"/>
          <w14:textFill>
            <w14:solidFill>
              <w14:schemeClr w14:val="tx1"/>
            </w14:solidFill>
          </w14:textFill>
        </w:rPr>
        <w:t>建议帮扶主管单位区科技工业商务信息化局完善工作机制督导前方工作队落实资金监管责任。一是强化专项资金执行的指导和监管责任，科学制定项目监督管理计划，定期考核项目执行情况。二是注意书面审核，由前方派驻工作队要求资金使用单位归档并提交相关项目实施材料并定期对归档材料进行核查，对检查情况与资金使用单位进行及时沟通。</w:t>
      </w:r>
    </w:p>
    <w:sectPr>
      <w:headerReference r:id="rId5" w:type="default"/>
      <w:footerReference r:id="rId6" w:type="default"/>
      <w:pgSz w:w="11906" w:h="16838"/>
      <w:pgMar w:top="2098" w:right="1531" w:bottom="1985" w:left="1588" w:header="851" w:footer="992" w:gutter="0"/>
      <w:pgNumType w:start="1"/>
      <w:cols w:space="720" w:num="1"/>
      <w:docGrid w:type="lines" w:linePitch="435"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5A">
      <wne:acd wne:acdName="acd4"/>
    </wne:keymap>
  </wne:keymap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AA" wne:acdName="acd4"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262576276"/>
    </w:sdtPr>
    <w:sdtEndPr>
      <w:rPr>
        <w:rFonts w:ascii="Times New Roman" w:hAnsi="Times New Roman" w:cs="Times New Roman"/>
        <w:sz w:val="24"/>
        <w:szCs w:val="24"/>
      </w:rPr>
    </w:sdtEndPr>
    <w:sdtContent>
      <w:p>
        <w:pPr>
          <w:pStyle w:val="11"/>
          <w:ind w:firstLine="0" w:firstLineChars="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5</w:t>
        </w:r>
        <w:r>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397"/>
    <w:rsid w:val="0000120D"/>
    <w:rsid w:val="0000504F"/>
    <w:rsid w:val="00013310"/>
    <w:rsid w:val="00022803"/>
    <w:rsid w:val="00023091"/>
    <w:rsid w:val="00024BBA"/>
    <w:rsid w:val="00031D3A"/>
    <w:rsid w:val="00032B8C"/>
    <w:rsid w:val="000407F3"/>
    <w:rsid w:val="000440A3"/>
    <w:rsid w:val="00054920"/>
    <w:rsid w:val="000552EC"/>
    <w:rsid w:val="00055968"/>
    <w:rsid w:val="00060312"/>
    <w:rsid w:val="00060A52"/>
    <w:rsid w:val="00072F1D"/>
    <w:rsid w:val="00082864"/>
    <w:rsid w:val="00082B32"/>
    <w:rsid w:val="000A2118"/>
    <w:rsid w:val="000A354A"/>
    <w:rsid w:val="000A55D9"/>
    <w:rsid w:val="000A588B"/>
    <w:rsid w:val="000B0CAA"/>
    <w:rsid w:val="000B117A"/>
    <w:rsid w:val="000B77A4"/>
    <w:rsid w:val="000C180E"/>
    <w:rsid w:val="000C3A0F"/>
    <w:rsid w:val="000C6EB1"/>
    <w:rsid w:val="000D12CD"/>
    <w:rsid w:val="000D6ADF"/>
    <w:rsid w:val="000E1E34"/>
    <w:rsid w:val="000E7309"/>
    <w:rsid w:val="000F469F"/>
    <w:rsid w:val="000F7D00"/>
    <w:rsid w:val="001032BB"/>
    <w:rsid w:val="00105A1E"/>
    <w:rsid w:val="001108CA"/>
    <w:rsid w:val="00110D8B"/>
    <w:rsid w:val="0011405C"/>
    <w:rsid w:val="00115EFD"/>
    <w:rsid w:val="0012334C"/>
    <w:rsid w:val="00124199"/>
    <w:rsid w:val="00134A90"/>
    <w:rsid w:val="00135F82"/>
    <w:rsid w:val="001437A3"/>
    <w:rsid w:val="00147650"/>
    <w:rsid w:val="001476B1"/>
    <w:rsid w:val="00150259"/>
    <w:rsid w:val="00156671"/>
    <w:rsid w:val="0016135B"/>
    <w:rsid w:val="001626F1"/>
    <w:rsid w:val="001632BC"/>
    <w:rsid w:val="001657D7"/>
    <w:rsid w:val="00172024"/>
    <w:rsid w:val="0017374E"/>
    <w:rsid w:val="00175543"/>
    <w:rsid w:val="00180CD8"/>
    <w:rsid w:val="001829E1"/>
    <w:rsid w:val="001829EE"/>
    <w:rsid w:val="00182ACC"/>
    <w:rsid w:val="00184F28"/>
    <w:rsid w:val="001A446A"/>
    <w:rsid w:val="001B1D4E"/>
    <w:rsid w:val="001C5B7F"/>
    <w:rsid w:val="001D519F"/>
    <w:rsid w:val="001D7AB2"/>
    <w:rsid w:val="001E15D2"/>
    <w:rsid w:val="001E20F9"/>
    <w:rsid w:val="001E2C45"/>
    <w:rsid w:val="00212F01"/>
    <w:rsid w:val="00220BA5"/>
    <w:rsid w:val="002217CB"/>
    <w:rsid w:val="00222D6E"/>
    <w:rsid w:val="002318CF"/>
    <w:rsid w:val="002338BD"/>
    <w:rsid w:val="00237882"/>
    <w:rsid w:val="00242FDB"/>
    <w:rsid w:val="0024436C"/>
    <w:rsid w:val="0024721C"/>
    <w:rsid w:val="00260373"/>
    <w:rsid w:val="00270C99"/>
    <w:rsid w:val="0027495D"/>
    <w:rsid w:val="00277A84"/>
    <w:rsid w:val="00281D92"/>
    <w:rsid w:val="00285338"/>
    <w:rsid w:val="0028738D"/>
    <w:rsid w:val="0029750C"/>
    <w:rsid w:val="002A4550"/>
    <w:rsid w:val="002A5D34"/>
    <w:rsid w:val="002B1C7B"/>
    <w:rsid w:val="002C03BF"/>
    <w:rsid w:val="002C04EF"/>
    <w:rsid w:val="002C6261"/>
    <w:rsid w:val="002D0DBD"/>
    <w:rsid w:val="002D1CF1"/>
    <w:rsid w:val="002F501C"/>
    <w:rsid w:val="002F760A"/>
    <w:rsid w:val="00302080"/>
    <w:rsid w:val="0030289E"/>
    <w:rsid w:val="00310DB1"/>
    <w:rsid w:val="003321C1"/>
    <w:rsid w:val="00332A57"/>
    <w:rsid w:val="0034247A"/>
    <w:rsid w:val="00345875"/>
    <w:rsid w:val="00346D18"/>
    <w:rsid w:val="00352F39"/>
    <w:rsid w:val="00354C0F"/>
    <w:rsid w:val="0036784D"/>
    <w:rsid w:val="00370455"/>
    <w:rsid w:val="00370B68"/>
    <w:rsid w:val="0037553D"/>
    <w:rsid w:val="003767DF"/>
    <w:rsid w:val="00376C97"/>
    <w:rsid w:val="00382A23"/>
    <w:rsid w:val="003846CA"/>
    <w:rsid w:val="00384905"/>
    <w:rsid w:val="00384ACF"/>
    <w:rsid w:val="003A07CE"/>
    <w:rsid w:val="003A33FA"/>
    <w:rsid w:val="003A4B38"/>
    <w:rsid w:val="003B22BA"/>
    <w:rsid w:val="003B50B3"/>
    <w:rsid w:val="003B69FE"/>
    <w:rsid w:val="003D0656"/>
    <w:rsid w:val="003D1744"/>
    <w:rsid w:val="003D2647"/>
    <w:rsid w:val="003D42FE"/>
    <w:rsid w:val="003F54FC"/>
    <w:rsid w:val="003F7A58"/>
    <w:rsid w:val="004028B1"/>
    <w:rsid w:val="00402D9F"/>
    <w:rsid w:val="004033C6"/>
    <w:rsid w:val="004078E3"/>
    <w:rsid w:val="00414C74"/>
    <w:rsid w:val="00421643"/>
    <w:rsid w:val="004268DA"/>
    <w:rsid w:val="004326C1"/>
    <w:rsid w:val="0045117E"/>
    <w:rsid w:val="004514D6"/>
    <w:rsid w:val="0046105A"/>
    <w:rsid w:val="004660C3"/>
    <w:rsid w:val="004662A4"/>
    <w:rsid w:val="00467E26"/>
    <w:rsid w:val="00476764"/>
    <w:rsid w:val="0047785C"/>
    <w:rsid w:val="00480208"/>
    <w:rsid w:val="004805BA"/>
    <w:rsid w:val="00480B8E"/>
    <w:rsid w:val="0048104E"/>
    <w:rsid w:val="004816CB"/>
    <w:rsid w:val="00481C11"/>
    <w:rsid w:val="00486D47"/>
    <w:rsid w:val="00492EE7"/>
    <w:rsid w:val="00493EDF"/>
    <w:rsid w:val="004A0B04"/>
    <w:rsid w:val="004A43A3"/>
    <w:rsid w:val="004B42EF"/>
    <w:rsid w:val="004B78B8"/>
    <w:rsid w:val="004C3E3F"/>
    <w:rsid w:val="004D02DC"/>
    <w:rsid w:val="004D338C"/>
    <w:rsid w:val="004D6885"/>
    <w:rsid w:val="004E16D3"/>
    <w:rsid w:val="004E48F8"/>
    <w:rsid w:val="004E7BFA"/>
    <w:rsid w:val="004F0540"/>
    <w:rsid w:val="004F496C"/>
    <w:rsid w:val="005005E1"/>
    <w:rsid w:val="00502764"/>
    <w:rsid w:val="0050357B"/>
    <w:rsid w:val="0051189F"/>
    <w:rsid w:val="005137E7"/>
    <w:rsid w:val="0051395E"/>
    <w:rsid w:val="005157BA"/>
    <w:rsid w:val="005303F3"/>
    <w:rsid w:val="00531292"/>
    <w:rsid w:val="0053562A"/>
    <w:rsid w:val="005368BB"/>
    <w:rsid w:val="00540AB9"/>
    <w:rsid w:val="0054407B"/>
    <w:rsid w:val="00545672"/>
    <w:rsid w:val="00547D4F"/>
    <w:rsid w:val="0055375F"/>
    <w:rsid w:val="00553C84"/>
    <w:rsid w:val="00556BCD"/>
    <w:rsid w:val="00565CD3"/>
    <w:rsid w:val="005677CB"/>
    <w:rsid w:val="005833AD"/>
    <w:rsid w:val="00584F1F"/>
    <w:rsid w:val="005855FC"/>
    <w:rsid w:val="005914A7"/>
    <w:rsid w:val="00596D83"/>
    <w:rsid w:val="005A19F8"/>
    <w:rsid w:val="005A55C3"/>
    <w:rsid w:val="005A7371"/>
    <w:rsid w:val="005A759D"/>
    <w:rsid w:val="005B23E1"/>
    <w:rsid w:val="005B4EE2"/>
    <w:rsid w:val="005B5B24"/>
    <w:rsid w:val="005C38B3"/>
    <w:rsid w:val="005C744A"/>
    <w:rsid w:val="005D056D"/>
    <w:rsid w:val="005D66D8"/>
    <w:rsid w:val="005E0DE9"/>
    <w:rsid w:val="005E355B"/>
    <w:rsid w:val="005E43EA"/>
    <w:rsid w:val="005E4C55"/>
    <w:rsid w:val="005E546D"/>
    <w:rsid w:val="005E557B"/>
    <w:rsid w:val="005F2DD5"/>
    <w:rsid w:val="005F33AC"/>
    <w:rsid w:val="005F451C"/>
    <w:rsid w:val="005F7FB5"/>
    <w:rsid w:val="00603071"/>
    <w:rsid w:val="0060334D"/>
    <w:rsid w:val="0060568D"/>
    <w:rsid w:val="006129F3"/>
    <w:rsid w:val="006145AA"/>
    <w:rsid w:val="00623BD4"/>
    <w:rsid w:val="00630395"/>
    <w:rsid w:val="006318C4"/>
    <w:rsid w:val="00635611"/>
    <w:rsid w:val="006406E7"/>
    <w:rsid w:val="006415B2"/>
    <w:rsid w:val="00642820"/>
    <w:rsid w:val="006428BC"/>
    <w:rsid w:val="00660603"/>
    <w:rsid w:val="00665558"/>
    <w:rsid w:val="00666056"/>
    <w:rsid w:val="00671AF7"/>
    <w:rsid w:val="00684490"/>
    <w:rsid w:val="00686F66"/>
    <w:rsid w:val="0069652A"/>
    <w:rsid w:val="006C3AE6"/>
    <w:rsid w:val="006D4CAC"/>
    <w:rsid w:val="006E4A2F"/>
    <w:rsid w:val="006E649B"/>
    <w:rsid w:val="006F4778"/>
    <w:rsid w:val="006F6D82"/>
    <w:rsid w:val="00700E82"/>
    <w:rsid w:val="00706F0A"/>
    <w:rsid w:val="0071241A"/>
    <w:rsid w:val="00723C51"/>
    <w:rsid w:val="00723F2D"/>
    <w:rsid w:val="00733E34"/>
    <w:rsid w:val="00743A54"/>
    <w:rsid w:val="00753D8E"/>
    <w:rsid w:val="007615CA"/>
    <w:rsid w:val="00761FCE"/>
    <w:rsid w:val="00764F44"/>
    <w:rsid w:val="007665B5"/>
    <w:rsid w:val="00774D3C"/>
    <w:rsid w:val="00775D15"/>
    <w:rsid w:val="00791413"/>
    <w:rsid w:val="007914EF"/>
    <w:rsid w:val="00795980"/>
    <w:rsid w:val="00796A12"/>
    <w:rsid w:val="007A2137"/>
    <w:rsid w:val="007A3215"/>
    <w:rsid w:val="007A4ED4"/>
    <w:rsid w:val="007A663A"/>
    <w:rsid w:val="007A7DAD"/>
    <w:rsid w:val="007B01FC"/>
    <w:rsid w:val="007B3780"/>
    <w:rsid w:val="007B5EE9"/>
    <w:rsid w:val="007B6254"/>
    <w:rsid w:val="007C112F"/>
    <w:rsid w:val="007C62C5"/>
    <w:rsid w:val="007D00AF"/>
    <w:rsid w:val="007D1C1A"/>
    <w:rsid w:val="007D3116"/>
    <w:rsid w:val="007D4DDC"/>
    <w:rsid w:val="007D56CF"/>
    <w:rsid w:val="007E175C"/>
    <w:rsid w:val="007F0C55"/>
    <w:rsid w:val="007F2AC2"/>
    <w:rsid w:val="007F538D"/>
    <w:rsid w:val="0080234D"/>
    <w:rsid w:val="00802BAD"/>
    <w:rsid w:val="00804AFA"/>
    <w:rsid w:val="008122D2"/>
    <w:rsid w:val="008171C8"/>
    <w:rsid w:val="00826B1F"/>
    <w:rsid w:val="00833ECD"/>
    <w:rsid w:val="00834F5E"/>
    <w:rsid w:val="00837753"/>
    <w:rsid w:val="00841D22"/>
    <w:rsid w:val="00842665"/>
    <w:rsid w:val="00845C1D"/>
    <w:rsid w:val="008509EF"/>
    <w:rsid w:val="00855547"/>
    <w:rsid w:val="00857314"/>
    <w:rsid w:val="00862921"/>
    <w:rsid w:val="00865CCC"/>
    <w:rsid w:val="00865E9F"/>
    <w:rsid w:val="00866D4F"/>
    <w:rsid w:val="00870B1E"/>
    <w:rsid w:val="00870F6B"/>
    <w:rsid w:val="008758F9"/>
    <w:rsid w:val="008800EC"/>
    <w:rsid w:val="008937CF"/>
    <w:rsid w:val="00894231"/>
    <w:rsid w:val="008946F4"/>
    <w:rsid w:val="008A0DE0"/>
    <w:rsid w:val="008A1AE9"/>
    <w:rsid w:val="008A5E43"/>
    <w:rsid w:val="008B210D"/>
    <w:rsid w:val="008C08D1"/>
    <w:rsid w:val="008C745D"/>
    <w:rsid w:val="008D2C0C"/>
    <w:rsid w:val="008D62C0"/>
    <w:rsid w:val="008E6689"/>
    <w:rsid w:val="008E7EB0"/>
    <w:rsid w:val="008F7D44"/>
    <w:rsid w:val="00900C6D"/>
    <w:rsid w:val="00906AA6"/>
    <w:rsid w:val="00911898"/>
    <w:rsid w:val="00914848"/>
    <w:rsid w:val="00921436"/>
    <w:rsid w:val="00925C9C"/>
    <w:rsid w:val="00927800"/>
    <w:rsid w:val="009301B8"/>
    <w:rsid w:val="00930309"/>
    <w:rsid w:val="00936F87"/>
    <w:rsid w:val="009402EE"/>
    <w:rsid w:val="009428DB"/>
    <w:rsid w:val="009461E1"/>
    <w:rsid w:val="00955CAF"/>
    <w:rsid w:val="00961913"/>
    <w:rsid w:val="00962B49"/>
    <w:rsid w:val="009746E3"/>
    <w:rsid w:val="009747BD"/>
    <w:rsid w:val="00975095"/>
    <w:rsid w:val="009820F6"/>
    <w:rsid w:val="00982290"/>
    <w:rsid w:val="00987283"/>
    <w:rsid w:val="009964C2"/>
    <w:rsid w:val="009A0FB2"/>
    <w:rsid w:val="009B098C"/>
    <w:rsid w:val="009B1EF0"/>
    <w:rsid w:val="009B303A"/>
    <w:rsid w:val="009C531D"/>
    <w:rsid w:val="009C540F"/>
    <w:rsid w:val="009C6505"/>
    <w:rsid w:val="009C6E35"/>
    <w:rsid w:val="009C6F6C"/>
    <w:rsid w:val="009C7397"/>
    <w:rsid w:val="009D0BAC"/>
    <w:rsid w:val="009D5D1C"/>
    <w:rsid w:val="009D644F"/>
    <w:rsid w:val="009D6B25"/>
    <w:rsid w:val="009E4986"/>
    <w:rsid w:val="009E5C36"/>
    <w:rsid w:val="00A07AC0"/>
    <w:rsid w:val="00A13915"/>
    <w:rsid w:val="00A23C68"/>
    <w:rsid w:val="00A31187"/>
    <w:rsid w:val="00A359FC"/>
    <w:rsid w:val="00A37195"/>
    <w:rsid w:val="00A40FDF"/>
    <w:rsid w:val="00A45E8A"/>
    <w:rsid w:val="00A4614F"/>
    <w:rsid w:val="00A5168E"/>
    <w:rsid w:val="00A53C45"/>
    <w:rsid w:val="00A5553C"/>
    <w:rsid w:val="00A55A3F"/>
    <w:rsid w:val="00A56AA1"/>
    <w:rsid w:val="00A57076"/>
    <w:rsid w:val="00A6312D"/>
    <w:rsid w:val="00A646EE"/>
    <w:rsid w:val="00A70DBF"/>
    <w:rsid w:val="00A75A26"/>
    <w:rsid w:val="00A911AB"/>
    <w:rsid w:val="00AA0B3A"/>
    <w:rsid w:val="00AA3281"/>
    <w:rsid w:val="00AB0D78"/>
    <w:rsid w:val="00AB1428"/>
    <w:rsid w:val="00AB5FBA"/>
    <w:rsid w:val="00AC21CE"/>
    <w:rsid w:val="00AD48F3"/>
    <w:rsid w:val="00AE1211"/>
    <w:rsid w:val="00AE6C51"/>
    <w:rsid w:val="00AF163A"/>
    <w:rsid w:val="00B00A83"/>
    <w:rsid w:val="00B03EFA"/>
    <w:rsid w:val="00B14E4E"/>
    <w:rsid w:val="00B32B15"/>
    <w:rsid w:val="00B366F3"/>
    <w:rsid w:val="00B50559"/>
    <w:rsid w:val="00B5237C"/>
    <w:rsid w:val="00B53EA2"/>
    <w:rsid w:val="00B53F90"/>
    <w:rsid w:val="00B54A0C"/>
    <w:rsid w:val="00B57C74"/>
    <w:rsid w:val="00B64160"/>
    <w:rsid w:val="00B81A24"/>
    <w:rsid w:val="00B83A61"/>
    <w:rsid w:val="00B86E66"/>
    <w:rsid w:val="00B86EEC"/>
    <w:rsid w:val="00B91636"/>
    <w:rsid w:val="00BA2CCC"/>
    <w:rsid w:val="00BA49A6"/>
    <w:rsid w:val="00BB1861"/>
    <w:rsid w:val="00BC10C7"/>
    <w:rsid w:val="00BC1D95"/>
    <w:rsid w:val="00BC7171"/>
    <w:rsid w:val="00BD3898"/>
    <w:rsid w:val="00BD65B8"/>
    <w:rsid w:val="00BF068D"/>
    <w:rsid w:val="00BF2370"/>
    <w:rsid w:val="00BF2BE6"/>
    <w:rsid w:val="00BF2D0B"/>
    <w:rsid w:val="00BF4F29"/>
    <w:rsid w:val="00C006EE"/>
    <w:rsid w:val="00C143B6"/>
    <w:rsid w:val="00C2260A"/>
    <w:rsid w:val="00C27D16"/>
    <w:rsid w:val="00C321D8"/>
    <w:rsid w:val="00C449BC"/>
    <w:rsid w:val="00C55BEB"/>
    <w:rsid w:val="00C76032"/>
    <w:rsid w:val="00C774D8"/>
    <w:rsid w:val="00C81BA3"/>
    <w:rsid w:val="00C8284B"/>
    <w:rsid w:val="00C86F8C"/>
    <w:rsid w:val="00C92040"/>
    <w:rsid w:val="00C96052"/>
    <w:rsid w:val="00CA23A2"/>
    <w:rsid w:val="00CA4F02"/>
    <w:rsid w:val="00CA656C"/>
    <w:rsid w:val="00CC008C"/>
    <w:rsid w:val="00CC1771"/>
    <w:rsid w:val="00CC1DC0"/>
    <w:rsid w:val="00CD4701"/>
    <w:rsid w:val="00CD6B2E"/>
    <w:rsid w:val="00CE180A"/>
    <w:rsid w:val="00CE25C6"/>
    <w:rsid w:val="00CE5EC3"/>
    <w:rsid w:val="00CF13A8"/>
    <w:rsid w:val="00CF3E62"/>
    <w:rsid w:val="00CF400D"/>
    <w:rsid w:val="00D012C1"/>
    <w:rsid w:val="00D02F57"/>
    <w:rsid w:val="00D06615"/>
    <w:rsid w:val="00D076F0"/>
    <w:rsid w:val="00D1439A"/>
    <w:rsid w:val="00D14BCD"/>
    <w:rsid w:val="00D173E2"/>
    <w:rsid w:val="00D17C96"/>
    <w:rsid w:val="00D22002"/>
    <w:rsid w:val="00D22AFE"/>
    <w:rsid w:val="00D24BDE"/>
    <w:rsid w:val="00D26416"/>
    <w:rsid w:val="00D31B74"/>
    <w:rsid w:val="00D36AFA"/>
    <w:rsid w:val="00D401B1"/>
    <w:rsid w:val="00D50F35"/>
    <w:rsid w:val="00D57639"/>
    <w:rsid w:val="00D605AC"/>
    <w:rsid w:val="00D63187"/>
    <w:rsid w:val="00D6328F"/>
    <w:rsid w:val="00D63713"/>
    <w:rsid w:val="00D63809"/>
    <w:rsid w:val="00D64422"/>
    <w:rsid w:val="00D674DB"/>
    <w:rsid w:val="00D67CC7"/>
    <w:rsid w:val="00D757F0"/>
    <w:rsid w:val="00D820E1"/>
    <w:rsid w:val="00D84245"/>
    <w:rsid w:val="00DA1EA5"/>
    <w:rsid w:val="00DA4300"/>
    <w:rsid w:val="00DA522C"/>
    <w:rsid w:val="00DA523F"/>
    <w:rsid w:val="00DA5A48"/>
    <w:rsid w:val="00DB48CB"/>
    <w:rsid w:val="00DC5025"/>
    <w:rsid w:val="00DD218D"/>
    <w:rsid w:val="00DE0EF5"/>
    <w:rsid w:val="00DE593D"/>
    <w:rsid w:val="00DF381E"/>
    <w:rsid w:val="00E0711F"/>
    <w:rsid w:val="00E073A9"/>
    <w:rsid w:val="00E15A3D"/>
    <w:rsid w:val="00E169ED"/>
    <w:rsid w:val="00E17C0C"/>
    <w:rsid w:val="00E20172"/>
    <w:rsid w:val="00E2195D"/>
    <w:rsid w:val="00E220CA"/>
    <w:rsid w:val="00E24331"/>
    <w:rsid w:val="00E379B2"/>
    <w:rsid w:val="00E44EC6"/>
    <w:rsid w:val="00E63166"/>
    <w:rsid w:val="00E67C7C"/>
    <w:rsid w:val="00E929E8"/>
    <w:rsid w:val="00E93662"/>
    <w:rsid w:val="00E94B5D"/>
    <w:rsid w:val="00E96EA4"/>
    <w:rsid w:val="00E971FF"/>
    <w:rsid w:val="00EB51A3"/>
    <w:rsid w:val="00EB6EF9"/>
    <w:rsid w:val="00EB7103"/>
    <w:rsid w:val="00EB775D"/>
    <w:rsid w:val="00EC59F4"/>
    <w:rsid w:val="00EC6BE3"/>
    <w:rsid w:val="00ED2426"/>
    <w:rsid w:val="00EE2658"/>
    <w:rsid w:val="00EE3618"/>
    <w:rsid w:val="00EE39DE"/>
    <w:rsid w:val="00EE4CF1"/>
    <w:rsid w:val="00EF58FA"/>
    <w:rsid w:val="00F06898"/>
    <w:rsid w:val="00F11CFC"/>
    <w:rsid w:val="00F1545E"/>
    <w:rsid w:val="00F24108"/>
    <w:rsid w:val="00F32F90"/>
    <w:rsid w:val="00F36404"/>
    <w:rsid w:val="00F37D70"/>
    <w:rsid w:val="00F41104"/>
    <w:rsid w:val="00F454F7"/>
    <w:rsid w:val="00F54572"/>
    <w:rsid w:val="00F55442"/>
    <w:rsid w:val="00F61D9B"/>
    <w:rsid w:val="00F6539C"/>
    <w:rsid w:val="00F70464"/>
    <w:rsid w:val="00F76979"/>
    <w:rsid w:val="00F800D4"/>
    <w:rsid w:val="00F81EAE"/>
    <w:rsid w:val="00F82E77"/>
    <w:rsid w:val="00F8623C"/>
    <w:rsid w:val="00F93E67"/>
    <w:rsid w:val="00F96CED"/>
    <w:rsid w:val="00FA0AC5"/>
    <w:rsid w:val="00FB7F05"/>
    <w:rsid w:val="00FC1401"/>
    <w:rsid w:val="00FC3940"/>
    <w:rsid w:val="00FC5CDD"/>
    <w:rsid w:val="00FD36C9"/>
    <w:rsid w:val="00FD414D"/>
    <w:rsid w:val="00FD4C04"/>
    <w:rsid w:val="00FE183D"/>
    <w:rsid w:val="00FE28E0"/>
    <w:rsid w:val="00FE5540"/>
    <w:rsid w:val="00FE56E9"/>
    <w:rsid w:val="00FE70D0"/>
    <w:rsid w:val="00FF10A1"/>
    <w:rsid w:val="00FF180A"/>
    <w:rsid w:val="00FF3285"/>
    <w:rsid w:val="0A2E34E1"/>
    <w:rsid w:val="0EAF066F"/>
    <w:rsid w:val="0F3B2B42"/>
    <w:rsid w:val="0FD66D0A"/>
    <w:rsid w:val="134A7B15"/>
    <w:rsid w:val="13550BBE"/>
    <w:rsid w:val="13B541C6"/>
    <w:rsid w:val="193F5703"/>
    <w:rsid w:val="24AF1788"/>
    <w:rsid w:val="2865050F"/>
    <w:rsid w:val="2B234C00"/>
    <w:rsid w:val="2FFA7587"/>
    <w:rsid w:val="31AD2424"/>
    <w:rsid w:val="34084BE0"/>
    <w:rsid w:val="36CA7A94"/>
    <w:rsid w:val="38392291"/>
    <w:rsid w:val="3E8B01EA"/>
    <w:rsid w:val="42C35039"/>
    <w:rsid w:val="436B0392"/>
    <w:rsid w:val="48084A8B"/>
    <w:rsid w:val="4D552C58"/>
    <w:rsid w:val="567A6FD1"/>
    <w:rsid w:val="581C0025"/>
    <w:rsid w:val="5B5823BA"/>
    <w:rsid w:val="5DD17A17"/>
    <w:rsid w:val="5DDF7EE9"/>
    <w:rsid w:val="62857BB0"/>
    <w:rsid w:val="65384049"/>
    <w:rsid w:val="68590C5D"/>
    <w:rsid w:val="70DD6248"/>
    <w:rsid w:val="72AB1152"/>
    <w:rsid w:val="78D33E14"/>
    <w:rsid w:val="7DA454B4"/>
    <w:rsid w:val="7E3F5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560" w:lineRule="exact"/>
      <w:ind w:firstLine="20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23"/>
    <w:qFormat/>
    <w:uiPriority w:val="9"/>
    <w:pPr>
      <w:spacing w:line="600" w:lineRule="exact"/>
      <w:outlineLvl w:val="0"/>
    </w:pPr>
    <w:rPr>
      <w:rFonts w:eastAsia="黑体"/>
      <w:bCs/>
      <w:kern w:val="44"/>
      <w:szCs w:val="44"/>
    </w:rPr>
  </w:style>
  <w:style w:type="paragraph" w:styleId="4">
    <w:name w:val="heading 2"/>
    <w:basedOn w:val="1"/>
    <w:next w:val="1"/>
    <w:link w:val="24"/>
    <w:unhideWhenUsed/>
    <w:qFormat/>
    <w:uiPriority w:val="9"/>
    <w:pPr>
      <w:spacing w:line="600" w:lineRule="exact"/>
      <w:outlineLvl w:val="1"/>
    </w:pPr>
    <w:rPr>
      <w:rFonts w:eastAsia="楷体_GB2312" w:cstheme="majorBidi"/>
      <w:bCs/>
      <w:szCs w:val="32"/>
    </w:rPr>
  </w:style>
  <w:style w:type="paragraph" w:styleId="5">
    <w:name w:val="heading 3"/>
    <w:basedOn w:val="1"/>
    <w:next w:val="1"/>
    <w:unhideWhenUsed/>
    <w:qFormat/>
    <w:uiPriority w:val="9"/>
    <w:pPr>
      <w:outlineLvl w:val="2"/>
    </w:pPr>
    <w:rPr>
      <w:rFonts w:cs="仿宋"/>
      <w:b/>
      <w:kern w:val="0"/>
      <w:szCs w:val="32"/>
      <w:lang w:val="zh-CN" w:bidi="zh-CN"/>
    </w:rPr>
  </w:style>
  <w:style w:type="paragraph" w:styleId="6">
    <w:name w:val="heading 4"/>
    <w:basedOn w:val="1"/>
    <w:next w:val="1"/>
    <w:unhideWhenUsed/>
    <w:qFormat/>
    <w:uiPriority w:val="9"/>
    <w:pPr>
      <w:outlineLvl w:val="3"/>
    </w:p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rPr>
      <w:rFonts w:ascii="Arial" w:hAnsi="Arial"/>
      <w:sz w:val="24"/>
    </w:rPr>
  </w:style>
  <w:style w:type="paragraph" w:styleId="7">
    <w:name w:val="Document Map"/>
    <w:basedOn w:val="1"/>
    <w:link w:val="31"/>
    <w:semiHidden/>
    <w:unhideWhenUsed/>
    <w:qFormat/>
    <w:uiPriority w:val="99"/>
    <w:rPr>
      <w:rFonts w:ascii="宋体"/>
      <w:sz w:val="18"/>
      <w:szCs w:val="18"/>
    </w:rPr>
  </w:style>
  <w:style w:type="paragraph" w:styleId="8">
    <w:name w:val="annotation text"/>
    <w:basedOn w:val="1"/>
    <w:link w:val="32"/>
    <w:semiHidden/>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Balloon Text"/>
    <w:basedOn w:val="1"/>
    <w:link w:val="29"/>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25"/>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toc 1"/>
    <w:basedOn w:val="1"/>
    <w:next w:val="1"/>
    <w:unhideWhenUsed/>
    <w:qFormat/>
    <w:uiPriority w:val="39"/>
    <w:pPr>
      <w:spacing w:line="440" w:lineRule="exact"/>
      <w:ind w:firstLine="0" w:firstLineChars="0"/>
    </w:pPr>
    <w:rPr>
      <w:rFonts w:eastAsia="黑体"/>
      <w:bCs/>
      <w:szCs w:val="28"/>
    </w:rPr>
  </w:style>
  <w:style w:type="paragraph" w:styleId="14">
    <w:name w:val="Subtitle"/>
    <w:basedOn w:val="1"/>
    <w:next w:val="1"/>
    <w:link w:val="34"/>
    <w:qFormat/>
    <w:uiPriority w:val="11"/>
    <w:pPr>
      <w:spacing w:before="240" w:after="60" w:line="312" w:lineRule="atLeast"/>
      <w:jc w:val="center"/>
      <w:outlineLvl w:val="1"/>
    </w:pPr>
    <w:rPr>
      <w:rFonts w:eastAsia="宋体" w:asciiTheme="majorHAnsi" w:hAnsiTheme="majorHAnsi" w:cstheme="majorBidi"/>
      <w:b/>
      <w:bCs/>
      <w:kern w:val="28"/>
      <w:szCs w:val="32"/>
    </w:rPr>
  </w:style>
  <w:style w:type="paragraph" w:styleId="15">
    <w:name w:val="toc 2"/>
    <w:basedOn w:val="1"/>
    <w:next w:val="1"/>
    <w:unhideWhenUsed/>
    <w:qFormat/>
    <w:uiPriority w:val="39"/>
    <w:pPr>
      <w:spacing w:line="440" w:lineRule="exact"/>
      <w:ind w:left="100" w:leftChars="100" w:firstLine="0" w:firstLineChars="0"/>
    </w:pPr>
  </w:style>
  <w:style w:type="paragraph" w:styleId="16">
    <w:name w:val="Title"/>
    <w:basedOn w:val="1"/>
    <w:next w:val="1"/>
    <w:link w:val="37"/>
    <w:qFormat/>
    <w:uiPriority w:val="10"/>
    <w:pPr>
      <w:spacing w:before="240" w:after="60"/>
      <w:jc w:val="center"/>
      <w:outlineLvl w:val="0"/>
    </w:pPr>
    <w:rPr>
      <w:rFonts w:asciiTheme="majorHAnsi" w:hAnsiTheme="majorHAnsi" w:eastAsiaTheme="majorEastAsia" w:cstheme="majorBidi"/>
      <w:b/>
      <w:bCs/>
      <w:szCs w:val="32"/>
    </w:rPr>
  </w:style>
  <w:style w:type="paragraph" w:styleId="17">
    <w:name w:val="annotation subject"/>
    <w:basedOn w:val="8"/>
    <w:next w:val="8"/>
    <w:link w:val="33"/>
    <w:semiHidden/>
    <w:unhideWhenUsed/>
    <w:qFormat/>
    <w:uiPriority w:val="99"/>
    <w:rPr>
      <w:b/>
      <w:bCs/>
    </w:rPr>
  </w:style>
  <w:style w:type="character" w:styleId="20">
    <w:name w:val="Hyperlink"/>
    <w:basedOn w:val="19"/>
    <w:unhideWhenUsed/>
    <w:qFormat/>
    <w:uiPriority w:val="99"/>
    <w:rPr>
      <w:color w:val="0563C1" w:themeColor="hyperlink"/>
      <w:u w:val="single"/>
      <w14:textFill>
        <w14:solidFill>
          <w14:schemeClr w14:val="hlink"/>
        </w14:solidFill>
      </w14:textFill>
    </w:rPr>
  </w:style>
  <w:style w:type="character" w:styleId="21">
    <w:name w:val="annotation reference"/>
    <w:basedOn w:val="19"/>
    <w:semiHidden/>
    <w:unhideWhenUsed/>
    <w:qFormat/>
    <w:uiPriority w:val="99"/>
    <w:rPr>
      <w:sz w:val="21"/>
      <w:szCs w:val="21"/>
    </w:rPr>
  </w:style>
  <w:style w:type="paragraph" w:customStyle="1" w:styleId="22">
    <w:name w:val="表格"/>
    <w:basedOn w:val="1"/>
    <w:link w:val="36"/>
    <w:qFormat/>
    <w:uiPriority w:val="0"/>
    <w:pPr>
      <w:spacing w:line="280" w:lineRule="exact"/>
      <w:ind w:firstLine="0" w:firstLineChars="0"/>
    </w:pPr>
    <w:rPr>
      <w:sz w:val="24"/>
    </w:rPr>
  </w:style>
  <w:style w:type="character" w:customStyle="1" w:styleId="23">
    <w:name w:val="标题 1 Char"/>
    <w:basedOn w:val="19"/>
    <w:link w:val="3"/>
    <w:qFormat/>
    <w:uiPriority w:val="9"/>
    <w:rPr>
      <w:rFonts w:eastAsia="黑体"/>
      <w:bCs/>
      <w:kern w:val="44"/>
      <w:sz w:val="32"/>
      <w:szCs w:val="44"/>
    </w:rPr>
  </w:style>
  <w:style w:type="character" w:customStyle="1" w:styleId="24">
    <w:name w:val="标题 2 Char"/>
    <w:basedOn w:val="19"/>
    <w:link w:val="4"/>
    <w:qFormat/>
    <w:uiPriority w:val="9"/>
    <w:rPr>
      <w:rFonts w:eastAsia="楷体_GB2312" w:cstheme="majorBidi"/>
      <w:bCs/>
      <w:kern w:val="2"/>
      <w:sz w:val="32"/>
      <w:szCs w:val="32"/>
    </w:rPr>
  </w:style>
  <w:style w:type="character" w:customStyle="1" w:styleId="25">
    <w:name w:val="页眉 Char"/>
    <w:link w:val="12"/>
    <w:qFormat/>
    <w:uiPriority w:val="99"/>
    <w:rPr>
      <w:sz w:val="18"/>
      <w:szCs w:val="18"/>
    </w:rPr>
  </w:style>
  <w:style w:type="character" w:customStyle="1" w:styleId="26">
    <w:name w:val="页脚 Char"/>
    <w:link w:val="11"/>
    <w:qFormat/>
    <w:uiPriority w:val="99"/>
    <w:rPr>
      <w:sz w:val="18"/>
      <w:szCs w:val="18"/>
    </w:rPr>
  </w:style>
  <w:style w:type="character" w:customStyle="1" w:styleId="27">
    <w:name w:val="页眉 字符1"/>
    <w:basedOn w:val="19"/>
    <w:semiHidden/>
    <w:qFormat/>
    <w:uiPriority w:val="99"/>
    <w:rPr>
      <w:rFonts w:ascii="Times New Roman" w:hAnsi="Times New Roman" w:eastAsia="宋体" w:cs="Times New Roman"/>
      <w:sz w:val="18"/>
      <w:szCs w:val="18"/>
    </w:rPr>
  </w:style>
  <w:style w:type="character" w:customStyle="1" w:styleId="28">
    <w:name w:val="页脚 字符1"/>
    <w:basedOn w:val="19"/>
    <w:semiHidden/>
    <w:qFormat/>
    <w:uiPriority w:val="99"/>
    <w:rPr>
      <w:rFonts w:ascii="Times New Roman" w:hAnsi="Times New Roman" w:eastAsia="宋体" w:cs="Times New Roman"/>
      <w:sz w:val="18"/>
      <w:szCs w:val="18"/>
    </w:rPr>
  </w:style>
  <w:style w:type="character" w:customStyle="1" w:styleId="29">
    <w:name w:val="批注框文本 Char"/>
    <w:basedOn w:val="19"/>
    <w:link w:val="10"/>
    <w:semiHidden/>
    <w:qFormat/>
    <w:uiPriority w:val="99"/>
    <w:rPr>
      <w:rFonts w:ascii="Times New Roman" w:hAnsi="Times New Roman" w:eastAsia="宋体" w:cs="Times New Roman"/>
      <w:sz w:val="18"/>
      <w:szCs w:val="18"/>
    </w:rPr>
  </w:style>
  <w:style w:type="paragraph" w:customStyle="1" w:styleId="30">
    <w:name w:val="TOC 标题1"/>
    <w:basedOn w:val="3"/>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F5597" w:themeColor="accent1" w:themeShade="BF"/>
      <w:kern w:val="0"/>
      <w:szCs w:val="32"/>
    </w:rPr>
  </w:style>
  <w:style w:type="character" w:customStyle="1" w:styleId="31">
    <w:name w:val="文档结构图 Char"/>
    <w:basedOn w:val="19"/>
    <w:link w:val="7"/>
    <w:semiHidden/>
    <w:qFormat/>
    <w:uiPriority w:val="99"/>
    <w:rPr>
      <w:rFonts w:ascii="宋体" w:hAnsi="Times New Roman" w:eastAsia="宋体" w:cs="Times New Roman"/>
      <w:sz w:val="18"/>
      <w:szCs w:val="18"/>
    </w:rPr>
  </w:style>
  <w:style w:type="character" w:customStyle="1" w:styleId="32">
    <w:name w:val="批注文字 Char"/>
    <w:basedOn w:val="19"/>
    <w:link w:val="8"/>
    <w:semiHidden/>
    <w:qFormat/>
    <w:uiPriority w:val="99"/>
    <w:rPr>
      <w:rFonts w:ascii="Times New Roman" w:hAnsi="Times New Roman" w:eastAsia="宋体" w:cs="Times New Roman"/>
      <w:szCs w:val="24"/>
    </w:rPr>
  </w:style>
  <w:style w:type="character" w:customStyle="1" w:styleId="33">
    <w:name w:val="批注主题 Char"/>
    <w:basedOn w:val="32"/>
    <w:link w:val="17"/>
    <w:semiHidden/>
    <w:qFormat/>
    <w:uiPriority w:val="99"/>
    <w:rPr>
      <w:rFonts w:ascii="Times New Roman" w:hAnsi="Times New Roman" w:eastAsia="宋体" w:cs="Times New Roman"/>
      <w:b/>
      <w:bCs/>
      <w:szCs w:val="24"/>
    </w:rPr>
  </w:style>
  <w:style w:type="character" w:customStyle="1" w:styleId="34">
    <w:name w:val="副标题 Char"/>
    <w:basedOn w:val="19"/>
    <w:link w:val="14"/>
    <w:qFormat/>
    <w:uiPriority w:val="11"/>
    <w:rPr>
      <w:rFonts w:asciiTheme="majorHAnsi" w:hAnsiTheme="majorHAnsi" w:cstheme="majorBidi"/>
      <w:b/>
      <w:bCs/>
      <w:kern w:val="28"/>
      <w:sz w:val="32"/>
      <w:szCs w:val="32"/>
    </w:rPr>
  </w:style>
  <w:style w:type="table" w:customStyle="1" w:styleId="35">
    <w:name w:val="网格型6"/>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
    <w:name w:val="表格 字符"/>
    <w:basedOn w:val="19"/>
    <w:link w:val="22"/>
    <w:qFormat/>
    <w:uiPriority w:val="0"/>
    <w:rPr>
      <w:rFonts w:eastAsia="仿宋_GB2312"/>
      <w:kern w:val="2"/>
      <w:sz w:val="24"/>
      <w:szCs w:val="24"/>
    </w:rPr>
  </w:style>
  <w:style w:type="character" w:customStyle="1" w:styleId="37">
    <w:name w:val="标题 Char"/>
    <w:basedOn w:val="19"/>
    <w:link w:val="16"/>
    <w:qFormat/>
    <w:uiPriority w:val="10"/>
    <w:rPr>
      <w:rFonts w:asciiTheme="majorHAnsi" w:hAnsiTheme="majorHAnsi" w:eastAsiaTheme="majorEastAsia" w:cstheme="majorBidi"/>
      <w:b/>
      <w:bCs/>
      <w:kern w:val="2"/>
      <w:sz w:val="32"/>
      <w:szCs w:val="32"/>
    </w:rPr>
  </w:style>
  <w:style w:type="paragraph" w:customStyle="1" w:styleId="38">
    <w:name w:val="表题"/>
    <w:basedOn w:val="1"/>
    <w:link w:val="39"/>
    <w:qFormat/>
    <w:uiPriority w:val="0"/>
    <w:pPr>
      <w:keepNext/>
      <w:ind w:firstLine="0" w:firstLineChars="0"/>
      <w:jc w:val="center"/>
    </w:pPr>
    <w:rPr>
      <w:b/>
      <w:sz w:val="28"/>
    </w:rPr>
  </w:style>
  <w:style w:type="character" w:customStyle="1" w:styleId="39">
    <w:name w:val="表题 字符"/>
    <w:basedOn w:val="19"/>
    <w:link w:val="38"/>
    <w:qFormat/>
    <w:uiPriority w:val="0"/>
    <w:rPr>
      <w:rFonts w:eastAsia="仿宋_GB2312"/>
      <w:b/>
      <w:kern w:val="2"/>
      <w:sz w:val="28"/>
      <w:szCs w:val="24"/>
    </w:rPr>
  </w:style>
  <w:style w:type="paragraph" w:customStyle="1" w:styleId="40">
    <w:name w:val="TOC 标题2"/>
    <w:basedOn w:val="3"/>
    <w:next w:val="1"/>
    <w:unhideWhenUsed/>
    <w:qFormat/>
    <w:uiPriority w:val="39"/>
    <w:pPr>
      <w:keepNext/>
      <w:keepLines/>
      <w:widowControl/>
      <w:adjustRightInd/>
      <w:spacing w:before="240" w:line="259" w:lineRule="auto"/>
      <w:ind w:firstLine="0" w:firstLineChars="0"/>
      <w:jc w:val="left"/>
      <w:outlineLvl w:val="9"/>
    </w:pPr>
    <w:rPr>
      <w:rFonts w:asciiTheme="majorHAnsi" w:hAnsiTheme="majorHAnsi" w:eastAsiaTheme="majorEastAsia" w:cstheme="majorBidi"/>
      <w:bCs w:val="0"/>
      <w:color w:val="2F5597" w:themeColor="accent1" w:themeShade="BF"/>
      <w:kern w:val="0"/>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883BDA-7FFE-4481-8C39-5C58EB6C79A7}">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328</Words>
  <Characters>1873</Characters>
  <Lines>15</Lines>
  <Paragraphs>4</Paragraphs>
  <TotalTime>28</TotalTime>
  <ScaleCrop>false</ScaleCrop>
  <LinksUpToDate>false</LinksUpToDate>
  <CharactersWithSpaces>2197</CharactersWithSpaces>
  <Application>WPS Office_11.1.0.10446_F1E327BC-269C-435d-A152-05C5408002CA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2020-09-27T06:38:00Z</dcterms:created>
  <dc:creator>13502645754@163.com</dc:creator>
  <cp:lastModifiedBy>小</cp:lastModifiedBy>
  <cp:lastPrinted>2020-09-27T07:30:00Z</cp:lastPrinted>
  <dcterms:modified xsi:type="dcterms:W3CDTF">2021-04-02T01:06:05Z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2052-11.1.0.10446</vt:lpwstr>
  </property>
  <property fmtid="{D5CDD505-2E9C-101B-9397-08002B2CF9AE}" pid="3" name="ICV">
    <vt:lpwstr>ECEE6C08A21D4B6D99A8BC7A9E461741</vt:lpwstr>
  </property>
</Properties>
</file>