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bookmarkStart w:id="0" w:name="_Hlk16480781"/>
      <w:r>
        <w:rPr>
          <w:rFonts w:hint="eastAsia" w:eastAsia="方正小标宋简体"/>
          <w:b w:val="0"/>
          <w:bCs/>
          <w:color w:val="000000" w:themeColor="text1"/>
          <w:sz w:val="44"/>
          <w:szCs w:val="44"/>
          <w14:textFill>
            <w14:solidFill>
              <w14:schemeClr w14:val="tx1"/>
            </w14:solidFill>
          </w14:textFill>
        </w:rPr>
        <w:t>广州市花都区科技工业商务和信息化局</w:t>
      </w:r>
    </w:p>
    <w:bookmarkEnd w:id="0"/>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r>
        <w:rPr>
          <w:rFonts w:hint="eastAsia" w:eastAsia="方正小标宋简体"/>
          <w:b w:val="0"/>
          <w:bCs/>
          <w:color w:val="000000" w:themeColor="text1"/>
          <w:sz w:val="44"/>
          <w:szCs w:val="44"/>
          <w14:textFill>
            <w14:solidFill>
              <w14:schemeClr w14:val="tx1"/>
            </w14:solidFill>
          </w14:textFill>
        </w:rPr>
        <w:t>对口帮扶贵州省毕节市织金县、黔西县</w:t>
      </w:r>
    </w:p>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r>
        <w:rPr>
          <w:rFonts w:hint="eastAsia" w:eastAsia="方正小标宋简体"/>
          <w:b w:val="0"/>
          <w:bCs/>
          <w:color w:val="000000" w:themeColor="text1"/>
          <w:sz w:val="44"/>
          <w:szCs w:val="44"/>
          <w14:textFill>
            <w14:solidFill>
              <w14:schemeClr w14:val="tx1"/>
            </w14:solidFill>
          </w14:textFill>
        </w:rPr>
        <w:t>新增帮扶资金</w:t>
      </w:r>
      <w:r>
        <w:rPr>
          <w:rFonts w:eastAsia="方正小标宋简体"/>
          <w:b w:val="0"/>
          <w:bCs/>
          <w:color w:val="000000" w:themeColor="text1"/>
          <w:sz w:val="44"/>
          <w:szCs w:val="44"/>
          <w14:textFill>
            <w14:solidFill>
              <w14:schemeClr w14:val="tx1"/>
            </w14:solidFill>
          </w14:textFill>
        </w:rPr>
        <w:t>专项资金</w:t>
      </w:r>
    </w:p>
    <w:p>
      <w:pPr>
        <w:snapToGrid w:val="0"/>
        <w:spacing w:line="600" w:lineRule="exact"/>
        <w:ind w:firstLine="0" w:firstLineChars="0"/>
        <w:jc w:val="center"/>
        <w:rPr>
          <w:rFonts w:eastAsia="方正小标宋简体"/>
          <w:b/>
          <w:color w:val="000000" w:themeColor="text1"/>
          <w:sz w:val="44"/>
          <w:szCs w:val="44"/>
          <w14:textFill>
            <w14:solidFill>
              <w14:schemeClr w14:val="tx1"/>
            </w14:solidFill>
          </w14:textFill>
        </w:rPr>
      </w:pPr>
      <w:r>
        <w:rPr>
          <w:rFonts w:eastAsia="方正小标宋简体"/>
          <w:b w:val="0"/>
          <w:bCs/>
          <w:color w:val="000000" w:themeColor="text1"/>
          <w:sz w:val="44"/>
          <w:szCs w:val="44"/>
          <w14:textFill>
            <w14:solidFill>
              <w14:schemeClr w14:val="tx1"/>
            </w14:solidFill>
          </w14:textFill>
        </w:rPr>
        <w:t>绩效重点评价</w:t>
      </w:r>
      <w:r>
        <w:rPr>
          <w:rFonts w:hint="eastAsia" w:eastAsia="方正小标宋简体"/>
          <w:b w:val="0"/>
          <w:bCs/>
          <w:color w:val="000000" w:themeColor="text1"/>
          <w:sz w:val="44"/>
          <w:szCs w:val="44"/>
          <w14:textFill>
            <w14:solidFill>
              <w14:schemeClr w14:val="tx1"/>
            </w14:solidFill>
          </w14:textFill>
        </w:rPr>
        <w:t>简要</w:t>
      </w:r>
      <w:r>
        <w:rPr>
          <w:rFonts w:eastAsia="方正小标宋简体"/>
          <w:b w:val="0"/>
          <w:bCs/>
          <w:color w:val="000000" w:themeColor="text1"/>
          <w:sz w:val="44"/>
          <w:szCs w:val="44"/>
          <w14:textFill>
            <w14:solidFill>
              <w14:schemeClr w14:val="tx1"/>
            </w14:solidFill>
          </w14:textFill>
        </w:rPr>
        <w:t>报告</w:t>
      </w:r>
    </w:p>
    <w:p>
      <w:pPr>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t>致同会计师事务所（特殊普通合伙）广州分所</w:t>
      </w:r>
    </w:p>
    <w:p>
      <w:pPr>
        <w:rPr>
          <w:color w:val="000000" w:themeColor="text1"/>
          <w14:textFill>
            <w14:solidFill>
              <w14:schemeClr w14:val="tx1"/>
            </w14:solidFill>
          </w14:textFill>
        </w:rPr>
      </w:pPr>
    </w:p>
    <w:p>
      <w:pPr>
        <w:pStyle w:val="3"/>
        <w:ind w:firstLine="640"/>
        <w:rPr>
          <w:color w:val="000000" w:themeColor="text1"/>
          <w14:textFill>
            <w14:solidFill>
              <w14:schemeClr w14:val="tx1"/>
            </w14:solidFill>
          </w14:textFill>
        </w:rPr>
      </w:pPr>
      <w:bookmarkStart w:id="1" w:name="_Toc19029256"/>
      <w:bookmarkStart w:id="2" w:name="_Toc19050195"/>
      <w:bookmarkStart w:id="3" w:name="_Toc16507566"/>
      <w:bookmarkStart w:id="4" w:name="_Toc51168414"/>
      <w:r>
        <w:rPr>
          <w:color w:val="000000" w:themeColor="text1"/>
          <w14:textFill>
            <w14:solidFill>
              <w14:schemeClr w14:val="tx1"/>
            </w14:solidFill>
          </w14:textFill>
        </w:rPr>
        <w:t>一、</w:t>
      </w:r>
      <w:bookmarkEnd w:id="1"/>
      <w:bookmarkEnd w:id="2"/>
      <w:bookmarkEnd w:id="3"/>
      <w:r>
        <w:rPr>
          <w:rFonts w:hint="eastAsia"/>
          <w:color w:val="000000" w:themeColor="text1"/>
          <w14:textFill>
            <w14:solidFill>
              <w14:schemeClr w14:val="tx1"/>
            </w14:solidFill>
          </w14:textFill>
        </w:rPr>
        <w:t>项目基本情况</w:t>
      </w:r>
      <w:bookmarkEnd w:id="4"/>
    </w:p>
    <w:p>
      <w:pPr>
        <w:pStyle w:val="4"/>
        <w:ind w:firstLine="640"/>
        <w:rPr>
          <w:color w:val="000000" w:themeColor="text1"/>
          <w14:textFill>
            <w14:solidFill>
              <w14:schemeClr w14:val="tx1"/>
            </w14:solidFill>
          </w14:textFill>
        </w:rPr>
      </w:pPr>
      <w:bookmarkStart w:id="5" w:name="_Toc51168415"/>
      <w:bookmarkStart w:id="6" w:name="_Toc19029258"/>
      <w:bookmarkStart w:id="7" w:name="_Toc19050197"/>
      <w:bookmarkStart w:id="8" w:name="_Toc16507568"/>
      <w:bookmarkStart w:id="9" w:name="_Toc16507567"/>
      <w:bookmarkStart w:id="10" w:name="_Toc19050196"/>
      <w:bookmarkStart w:id="11" w:name="_Toc19029257"/>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一</w:t>
      </w:r>
      <w:r>
        <w:rPr>
          <w:rFonts w:cs="Times New Roman"/>
          <w:color w:val="000000" w:themeColor="text1"/>
          <w14:textFill>
            <w14:solidFill>
              <w14:schemeClr w14:val="tx1"/>
            </w14:solidFill>
          </w14:textFill>
        </w:rPr>
        <w:t>）</w:t>
      </w:r>
      <w:bookmarkEnd w:id="5"/>
      <w:bookmarkEnd w:id="6"/>
      <w:bookmarkEnd w:id="7"/>
      <w:bookmarkEnd w:id="8"/>
      <w:bookmarkStart w:id="12" w:name="_Toc51168416"/>
      <w:r>
        <w:rPr>
          <w:color w:val="000000" w:themeColor="text1"/>
          <w14:textFill>
            <w14:solidFill>
              <w14:schemeClr w14:val="tx1"/>
            </w14:solidFill>
          </w14:textFill>
        </w:rPr>
        <w:t>项目背景</w:t>
      </w:r>
      <w:bookmarkEnd w:id="9"/>
      <w:bookmarkEnd w:id="10"/>
      <w:bookmarkEnd w:id="11"/>
      <w:bookmarkEnd w:id="12"/>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关于贯彻落实进一步加强东西部扶贫协作工作的实施意见》(穗办〔2017〕7号）、《广州市花都区对口毕节市织金县、黔西县帮扶工作方案》等文件要求，落实每年对口帮扶毕节扶贫协作资金，根据本区东西部扶贫协作工作实际情况，适度增加结对县帮扶资金。</w:t>
      </w:r>
    </w:p>
    <w:p>
      <w:pPr>
        <w:pStyle w:val="4"/>
        <w:ind w:firstLine="640"/>
        <w:rPr>
          <w:rFonts w:cs="Times New Roman"/>
          <w:color w:val="000000" w:themeColor="text1"/>
          <w14:textFill>
            <w14:solidFill>
              <w14:schemeClr w14:val="tx1"/>
            </w14:solidFill>
          </w14:textFill>
        </w:rPr>
      </w:pPr>
      <w:bookmarkStart w:id="13" w:name="_Toc18652679"/>
      <w:bookmarkStart w:id="14" w:name="_Toc51168417"/>
      <w:bookmarkStart w:id="15" w:name="_Toc19029260"/>
      <w:bookmarkStart w:id="16" w:name="_Toc19050199"/>
      <w:bookmarkStart w:id="17" w:name="_Toc16507569"/>
      <w:bookmarkStart w:id="18" w:name="_Toc19029259"/>
      <w:bookmarkStart w:id="19" w:name="_Toc19050198"/>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二</w:t>
      </w:r>
      <w:r>
        <w:rPr>
          <w:rFonts w:cs="Times New Roman"/>
          <w:color w:val="000000" w:themeColor="text1"/>
          <w14:textFill>
            <w14:solidFill>
              <w14:schemeClr w14:val="tx1"/>
            </w14:solidFill>
          </w14:textFill>
        </w:rPr>
        <w:t>）项目实施概况</w:t>
      </w:r>
      <w:bookmarkEnd w:id="13"/>
      <w:bookmarkEnd w:id="14"/>
      <w:bookmarkEnd w:id="15"/>
      <w:bookmarkEnd w:id="16"/>
    </w:p>
    <w:p>
      <w:pPr>
        <w:pStyle w:val="5"/>
        <w:ind w:firstLine="643"/>
        <w:rPr>
          <w:color w:val="000000" w:themeColor="text1"/>
          <w14:textFill>
            <w14:solidFill>
              <w14:schemeClr w14:val="tx1"/>
            </w14:solidFill>
          </w14:textFill>
        </w:rPr>
      </w:pPr>
      <w:bookmarkStart w:id="20" w:name="_Toc19029261"/>
      <w:r>
        <w:rPr>
          <w:color w:val="000000" w:themeColor="text1"/>
          <w14:textFill>
            <w14:solidFill>
              <w14:schemeClr w14:val="tx1"/>
            </w14:solidFill>
          </w14:textFill>
        </w:rPr>
        <w:t>1.资金使用情况</w:t>
      </w:r>
      <w:bookmarkEnd w:id="20"/>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项目预算资金</w:t>
      </w:r>
      <w:r>
        <w:rPr>
          <w:color w:val="000000" w:themeColor="text1"/>
          <w14:textFill>
            <w14:solidFill>
              <w14:schemeClr w14:val="tx1"/>
            </w14:solidFill>
          </w14:textFill>
        </w:rPr>
        <w:t>600</w:t>
      </w:r>
      <w:r>
        <w:rPr>
          <w:rFonts w:hint="eastAsia"/>
          <w:color w:val="000000" w:themeColor="text1"/>
          <w14:textFill>
            <w14:solidFill>
              <w14:schemeClr w14:val="tx1"/>
            </w14:solidFill>
          </w14:textFill>
        </w:rPr>
        <w:t>万元，年中无预算调整。到位资金</w:t>
      </w:r>
      <w:r>
        <w:rPr>
          <w:color w:val="000000" w:themeColor="text1"/>
          <w14:textFill>
            <w14:solidFill>
              <w14:schemeClr w14:val="tx1"/>
            </w14:solidFill>
          </w14:textFill>
        </w:rPr>
        <w:t>600</w:t>
      </w:r>
      <w:r>
        <w:rPr>
          <w:rFonts w:hint="eastAsia"/>
          <w:color w:val="000000" w:themeColor="text1"/>
          <w14:textFill>
            <w14:solidFill>
              <w14:schemeClr w14:val="tx1"/>
            </w14:solidFill>
          </w14:textFill>
        </w:rPr>
        <w:t>万元，资金到位率1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p>
    <w:p>
      <w:pPr>
        <w:pStyle w:val="5"/>
        <w:ind w:firstLine="643"/>
        <w:rPr>
          <w:color w:val="000000" w:themeColor="text1"/>
          <w14:textFill>
            <w14:solidFill>
              <w14:schemeClr w14:val="tx1"/>
            </w14:solidFill>
          </w14:textFill>
        </w:rPr>
      </w:pPr>
      <w:bookmarkStart w:id="21" w:name="_Toc19029262"/>
      <w:r>
        <w:rPr>
          <w:color w:val="000000" w:themeColor="text1"/>
          <w14:textFill>
            <w14:solidFill>
              <w14:schemeClr w14:val="tx1"/>
            </w14:solidFill>
          </w14:textFill>
        </w:rPr>
        <w:t>2.项目实施情况</w:t>
      </w:r>
      <w:bookmarkEnd w:id="21"/>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年度追加对口帮扶织金县、黔西县财政资金6</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万元（其中织金县5</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万元、黔西县1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万元），</w:t>
      </w:r>
      <w:bookmarkStart w:id="22" w:name="_Hlk50922319"/>
      <w:r>
        <w:rPr>
          <w:rFonts w:hint="eastAsia"/>
          <w:color w:val="000000" w:themeColor="text1"/>
          <w14:textFill>
            <w14:solidFill>
              <w14:schemeClr w14:val="tx1"/>
            </w14:solidFill>
          </w14:textFill>
        </w:rPr>
        <w:t>主要用于开展2019年村企结对帮扶配套、完成相关国考指标任务、聚焦解决建档立卡贫困户三保障等民生事项，</w:t>
      </w:r>
      <w:bookmarkEnd w:id="22"/>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年度黔西县帮扶资金共扶持黔西县东西部协作计划外资金观音洞镇精品水果种植等三个项目，全部按预期完成项目建设工作，织金县帮扶资金合计扶持</w:t>
      </w:r>
      <w:bookmarkStart w:id="23" w:name="_Hlk50922402"/>
      <w:r>
        <w:rPr>
          <w:rFonts w:hint="eastAsia"/>
          <w:color w:val="000000" w:themeColor="text1"/>
          <w14:textFill>
            <w14:solidFill>
              <w14:schemeClr w14:val="tx1"/>
            </w14:solidFill>
          </w14:textFill>
        </w:rPr>
        <w:t>8个项目，</w:t>
      </w:r>
      <w:bookmarkEnd w:id="23"/>
      <w:r>
        <w:rPr>
          <w:rFonts w:hint="eastAsia"/>
          <w:color w:val="000000" w:themeColor="text1"/>
          <w14:textFill>
            <w14:solidFill>
              <w14:schemeClr w14:val="tx1"/>
            </w14:solidFill>
          </w14:textFill>
        </w:rPr>
        <w:t>全部项目按预期完成建设工作。</w:t>
      </w:r>
    </w:p>
    <w:p>
      <w:pPr>
        <w:pStyle w:val="4"/>
        <w:ind w:firstLine="640"/>
        <w:rPr>
          <w:rFonts w:cs="Times New Roman"/>
          <w:color w:val="000000" w:themeColor="text1"/>
          <w14:textFill>
            <w14:solidFill>
              <w14:schemeClr w14:val="tx1"/>
            </w14:solidFill>
          </w14:textFill>
        </w:rPr>
      </w:pPr>
      <w:bookmarkStart w:id="24" w:name="_Toc51168418"/>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三</w:t>
      </w:r>
      <w:r>
        <w:rPr>
          <w:rFonts w:cs="Times New Roman"/>
          <w:color w:val="000000" w:themeColor="text1"/>
          <w14:textFill>
            <w14:solidFill>
              <w14:schemeClr w14:val="tx1"/>
            </w14:solidFill>
          </w14:textFill>
        </w:rPr>
        <w:t>）项目绩效目标</w:t>
      </w:r>
      <w:bookmarkEnd w:id="17"/>
      <w:bookmarkEnd w:id="18"/>
      <w:bookmarkEnd w:id="19"/>
      <w:r>
        <w:rPr>
          <w:rFonts w:hint="eastAsia" w:cs="Times New Roman"/>
          <w:color w:val="000000" w:themeColor="text1"/>
          <w14:textFill>
            <w14:solidFill>
              <w14:schemeClr w14:val="tx1"/>
            </w14:solidFill>
          </w14:textFill>
        </w:rPr>
        <w:t>及完成情况</w:t>
      </w:r>
      <w:bookmarkEnd w:id="24"/>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项目年初绩效目标申报情况，项目设置绩效总目标及年度绩效目标，但总绩效指标及年度绩效指标完全一致，为“织金县脱贫摘帽，黔西县巩固脱贫成果，两县所有贫困村全部出列，织金县东西部扶贫协作国考走前列，获</w:t>
      </w:r>
      <w:r>
        <w:rPr>
          <w:rFonts w:hint="eastAsia"/>
          <w:color w:val="000000" w:themeColor="text1"/>
          <w:lang w:eastAsia="zh-CN"/>
          <w14:textFill>
            <w14:solidFill>
              <w14:schemeClr w14:val="tx1"/>
            </w14:solidFill>
          </w14:textFill>
        </w:rPr>
        <w:t>‘好’</w:t>
      </w:r>
      <w:bookmarkStart w:id="48" w:name="_GoBack"/>
      <w:bookmarkEnd w:id="48"/>
      <w:r>
        <w:rPr>
          <w:rFonts w:hint="eastAsia"/>
          <w:color w:val="000000" w:themeColor="text1"/>
          <w14:textFill>
            <w14:solidFill>
              <w14:schemeClr w14:val="tx1"/>
            </w14:solidFill>
          </w14:textFill>
        </w:rPr>
        <w:t>等次</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。合计设置绩效指标</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个，指标完成率1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p>
    <w:p>
      <w:pPr>
        <w:pStyle w:val="4"/>
        <w:ind w:firstLine="640"/>
        <w:rPr>
          <w:rFonts w:cs="Times New Roman"/>
          <w:color w:val="000000" w:themeColor="text1"/>
          <w14:textFill>
            <w14:solidFill>
              <w14:schemeClr w14:val="tx1"/>
            </w14:solidFill>
          </w14:textFill>
        </w:rPr>
      </w:pPr>
      <w:bookmarkStart w:id="25" w:name="_Toc16507576"/>
      <w:bookmarkStart w:id="26" w:name="_Toc19050206"/>
      <w:bookmarkStart w:id="27" w:name="_Toc19029277"/>
      <w:bookmarkStart w:id="28" w:name="_Toc51168425"/>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四</w:t>
      </w:r>
      <w:r>
        <w:rPr>
          <w:rFonts w:cs="Times New Roman"/>
          <w:color w:val="000000" w:themeColor="text1"/>
          <w14:textFill>
            <w14:solidFill>
              <w14:schemeClr w14:val="tx1"/>
            </w14:solidFill>
          </w14:textFill>
        </w:rPr>
        <w:t>）评价结果</w:t>
      </w:r>
      <w:bookmarkEnd w:id="25"/>
      <w:bookmarkEnd w:id="26"/>
      <w:bookmarkEnd w:id="27"/>
      <w:bookmarkEnd w:id="28"/>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本次评价采用成本效益分析法、目标结果比较法、因素分析法、公众评判法、穿行测试法等方法，围绕项目安排、管理、绩效、可持续性等方面实施评价，项目绩效评价等级为“良”。</w:t>
      </w:r>
    </w:p>
    <w:p>
      <w:pPr>
        <w:pStyle w:val="3"/>
        <w:ind w:firstLine="640"/>
        <w:rPr>
          <w:color w:val="000000" w:themeColor="text1"/>
          <w14:textFill>
            <w14:solidFill>
              <w14:schemeClr w14:val="tx1"/>
            </w14:solidFill>
          </w14:textFill>
        </w:rPr>
      </w:pPr>
      <w:bookmarkStart w:id="29" w:name="_Toc19029283"/>
      <w:bookmarkStart w:id="30" w:name="_Toc19050208"/>
      <w:bookmarkStart w:id="31" w:name="_Toc16507578"/>
      <w:bookmarkStart w:id="32" w:name="_Toc51168427"/>
      <w:r>
        <w:rPr>
          <w:rFonts w:hint="eastAsia"/>
          <w:color w:val="000000" w:themeColor="text1"/>
          <w14:textFill>
            <w14:solidFill>
              <w14:schemeClr w14:val="tx1"/>
            </w14:solidFill>
          </w14:textFill>
        </w:rPr>
        <w:t>二</w:t>
      </w:r>
      <w:r>
        <w:rPr>
          <w:color w:val="000000" w:themeColor="text1"/>
          <w14:textFill>
            <w14:solidFill>
              <w14:schemeClr w14:val="tx1"/>
            </w14:solidFill>
          </w14:textFill>
        </w:rPr>
        <w:t>、主要绩效</w:t>
      </w:r>
      <w:bookmarkEnd w:id="29"/>
      <w:bookmarkEnd w:id="30"/>
      <w:bookmarkEnd w:id="31"/>
      <w:bookmarkEnd w:id="32"/>
    </w:p>
    <w:p>
      <w:pPr>
        <w:pStyle w:val="4"/>
        <w:ind w:firstLine="640"/>
        <w:rPr>
          <w:color w:val="000000" w:themeColor="text1"/>
          <w14:textFill>
            <w14:solidFill>
              <w14:schemeClr w14:val="tx1"/>
            </w14:solidFill>
          </w14:textFill>
        </w:rPr>
      </w:pPr>
      <w:bookmarkStart w:id="33" w:name="_Toc51168428"/>
      <w:r>
        <w:rPr>
          <w:rFonts w:hint="eastAsia"/>
          <w:color w:val="000000" w:themeColor="text1"/>
          <w14:textFill>
            <w14:solidFill>
              <w14:schemeClr w14:val="tx1"/>
            </w14:solidFill>
          </w14:textFill>
        </w:rPr>
        <w:t>（一）助力脱贫攻坚，摘帽工作完成较好</w:t>
      </w:r>
      <w:bookmarkEnd w:id="33"/>
    </w:p>
    <w:p>
      <w:pPr>
        <w:ind w:firstLine="640"/>
        <w:rPr>
          <w:color w:val="000000" w:themeColor="text1"/>
          <w14:textFill>
            <w14:solidFill>
              <w14:schemeClr w14:val="tx1"/>
            </w14:solidFill>
          </w14:textFill>
        </w:rPr>
      </w:pPr>
      <w:r>
        <w:rPr>
          <w:color w:val="000000" w:themeColor="text1"/>
          <w14:textFill>
            <w14:solidFill>
              <w14:schemeClr w14:val="tx1"/>
            </w14:solidFill>
          </w14:textFill>
        </w:rPr>
        <w:t>2020</w:t>
      </w:r>
      <w:r>
        <w:rPr>
          <w:rFonts w:hint="eastAsia"/>
          <w:color w:val="000000" w:themeColor="text1"/>
          <w14:textFill>
            <w14:solidFill>
              <w14:schemeClr w14:val="tx1"/>
            </w14:solidFill>
          </w14:textFill>
        </w:rPr>
        <w:t>年3月，经贵县级申请、市级初审、贵州省扶贫开发领导小组审核及第三方评估机构实地评估，织金县正式脱贫摘帽。花都区对点帮扶贵州织金县、黔西县均顺利完成脱贫摘帽工作。黔西县进一步稳固脱贫摘帽成果，通过对点帮扶工作的实施，有效助力脱贫攻坚工作，提升受益群众满意度。</w:t>
      </w:r>
    </w:p>
    <w:p>
      <w:pPr>
        <w:pStyle w:val="4"/>
        <w:ind w:firstLine="640"/>
        <w:rPr>
          <w:color w:val="000000" w:themeColor="text1"/>
          <w14:textFill>
            <w14:solidFill>
              <w14:schemeClr w14:val="tx1"/>
            </w14:solidFill>
          </w14:textFill>
        </w:rPr>
      </w:pPr>
      <w:bookmarkStart w:id="34" w:name="_Toc51168429"/>
      <w:r>
        <w:rPr>
          <w:rFonts w:hint="eastAsia"/>
          <w:color w:val="000000" w:themeColor="text1"/>
          <w14:textFill>
            <w14:solidFill>
              <w14:schemeClr w14:val="tx1"/>
            </w14:solidFill>
          </w14:textFill>
        </w:rPr>
        <w:t>（二）聚焦解决民生保障事项，协助帮扶地区完成国考指标任务</w:t>
      </w:r>
      <w:bookmarkEnd w:id="34"/>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在帮扶项目确定过程中，聚焦解决建档立卡贫困户三保障等民生事项，以及助残脱贫活动，结合结对口帮扶的织金、黔西两县县情实际和贫困户需要，大力实施产业扶贫。开展诸如织金县建档立卡贫困户“绣娘”培训等项目，发挥当地文化、农业特殊项目，引导民众从分散生产专项产业化、规模化、市场化发展，</w:t>
      </w:r>
      <w:r>
        <w:rPr>
          <w:rFonts w:hint="eastAsia" w:ascii="仿宋_GB2312" w:hAnsi="宋体" w:cs="宋体"/>
          <w:color w:val="000000" w:themeColor="text1"/>
          <w:szCs w:val="32"/>
          <w14:textFill>
            <w14:solidFill>
              <w14:schemeClr w14:val="tx1"/>
            </w14:solidFill>
          </w14:textFill>
        </w:rPr>
        <w:t>协助帮扶地区完成国考指标任务。</w:t>
      </w:r>
    </w:p>
    <w:p>
      <w:pPr>
        <w:pStyle w:val="3"/>
        <w:ind w:firstLine="640"/>
        <w:rPr>
          <w:color w:val="000000" w:themeColor="text1"/>
          <w14:textFill>
            <w14:solidFill>
              <w14:schemeClr w14:val="tx1"/>
            </w14:solidFill>
          </w14:textFill>
        </w:rPr>
      </w:pPr>
      <w:bookmarkStart w:id="35" w:name="_Toc16507582"/>
      <w:bookmarkStart w:id="36" w:name="_Toc19050212"/>
      <w:bookmarkStart w:id="37" w:name="_Toc19029287"/>
      <w:bookmarkStart w:id="38" w:name="_Toc51168430"/>
      <w:r>
        <w:rPr>
          <w:rFonts w:hint="eastAsia"/>
          <w:color w:val="000000" w:themeColor="text1"/>
          <w14:textFill>
            <w14:solidFill>
              <w14:schemeClr w14:val="tx1"/>
            </w14:solidFill>
          </w14:textFill>
        </w:rPr>
        <w:t>三</w:t>
      </w:r>
      <w:r>
        <w:rPr>
          <w:color w:val="000000" w:themeColor="text1"/>
          <w14:textFill>
            <w14:solidFill>
              <w14:schemeClr w14:val="tx1"/>
            </w14:solidFill>
          </w14:textFill>
        </w:rPr>
        <w:t>、存在问题</w:t>
      </w:r>
      <w:bookmarkEnd w:id="35"/>
      <w:bookmarkEnd w:id="36"/>
      <w:bookmarkEnd w:id="37"/>
      <w:bookmarkEnd w:id="38"/>
    </w:p>
    <w:p>
      <w:pPr>
        <w:pStyle w:val="4"/>
        <w:ind w:firstLine="640"/>
        <w:rPr>
          <w:color w:val="000000" w:themeColor="text1"/>
          <w14:textFill>
            <w14:solidFill>
              <w14:schemeClr w14:val="tx1"/>
            </w14:solidFill>
          </w14:textFill>
        </w:rPr>
      </w:pPr>
      <w:bookmarkStart w:id="39" w:name="_Toc51168431"/>
      <w:r>
        <w:rPr>
          <w:rFonts w:hint="eastAsia"/>
          <w:color w:val="000000" w:themeColor="text1"/>
          <w14:textFill>
            <w14:solidFill>
              <w14:schemeClr w14:val="tx1"/>
            </w14:solidFill>
          </w14:textFill>
        </w:rPr>
        <w:t>（一）项目管理存在瑕疵，派驻前方工作队及帮扶统筹协调单位监管未能落实到位</w:t>
      </w:r>
      <w:bookmarkEnd w:id="39"/>
    </w:p>
    <w:p>
      <w:pPr>
        <w:spacing w:line="579" w:lineRule="exact"/>
        <w:ind w:firstLine="640"/>
        <w:rPr>
          <w:rFonts w:ascii="黑体" w:hAnsi="黑体" w:eastAsia="黑体" w:cs="黑体"/>
          <w:bCs/>
          <w:color w:val="000000" w:themeColor="text1"/>
          <w:szCs w:val="32"/>
          <w14:textFill>
            <w14:solidFill>
              <w14:schemeClr w14:val="tx1"/>
            </w14:solidFill>
          </w14:textFill>
        </w:rPr>
      </w:pPr>
      <w:r>
        <w:rPr>
          <w:rFonts w:hint="eastAsia"/>
          <w:bCs/>
          <w:color w:val="000000" w:themeColor="text1"/>
          <w14:textFill>
            <w14:solidFill>
              <w14:schemeClr w14:val="tx1"/>
            </w14:solidFill>
          </w14:textFill>
        </w:rPr>
        <w:t>项目管理存在短板，</w:t>
      </w:r>
      <w:r>
        <w:rPr>
          <w:rFonts w:hint="eastAsia"/>
          <w:color w:val="000000" w:themeColor="text1"/>
          <w14:textFill>
            <w14:solidFill>
              <w14:schemeClr w14:val="tx1"/>
            </w14:solidFill>
          </w14:textFill>
        </w:rPr>
        <w:t>区科技工业商务信息化局未能落实主管责任，对前方派驻工作队督导、指导力度不够对于资金使用缺少明确的监管措施，区科技工业商务信息化局未能落实帮扶主管单位对协作资金的监管责任，对于资金使用、项目实施进度、过程台账资料均未能督促前方工作队实现核查留档。</w:t>
      </w:r>
    </w:p>
    <w:p>
      <w:pPr>
        <w:pStyle w:val="4"/>
        <w:ind w:firstLine="640"/>
        <w:rPr>
          <w:color w:val="000000" w:themeColor="text1"/>
          <w14:textFill>
            <w14:solidFill>
              <w14:schemeClr w14:val="tx1"/>
            </w14:solidFill>
          </w14:textFill>
        </w:rPr>
      </w:pPr>
      <w:bookmarkStart w:id="40" w:name="_Toc51168432"/>
      <w:r>
        <w:rPr>
          <w:rFonts w:hint="eastAsia"/>
          <w:color w:val="000000" w:themeColor="text1"/>
          <w14:textFill>
            <w14:solidFill>
              <w14:schemeClr w14:val="tx1"/>
            </w14:solidFill>
          </w14:textFill>
        </w:rPr>
        <w:t>（二）部分子项目财务管理规范性不足，存在支付金额不够准确的问题</w:t>
      </w:r>
      <w:bookmarkEnd w:id="40"/>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区科技工业商务信息化局方面资金拨付资料真实完整，账务处理规范。但部分子项目资金支出规范性有待加强，如“黔西县卫生室维修”项目，竣工决算金额、合同金额及发票金额均出现不一致的情况。</w:t>
      </w:r>
    </w:p>
    <w:p>
      <w:pPr>
        <w:pStyle w:val="3"/>
        <w:ind w:firstLine="640"/>
        <w:rPr>
          <w:color w:val="000000" w:themeColor="text1"/>
          <w14:textFill>
            <w14:solidFill>
              <w14:schemeClr w14:val="tx1"/>
            </w14:solidFill>
          </w14:textFill>
        </w:rPr>
      </w:pPr>
      <w:bookmarkStart w:id="41" w:name="_Toc19029291"/>
      <w:bookmarkStart w:id="42" w:name="_Toc19050216"/>
      <w:bookmarkStart w:id="43" w:name="_Toc16507586"/>
      <w:bookmarkStart w:id="44" w:name="_Toc51168433"/>
      <w:r>
        <w:rPr>
          <w:rFonts w:hint="eastAsia"/>
          <w:color w:val="000000" w:themeColor="text1"/>
          <w14:textFill>
            <w14:solidFill>
              <w14:schemeClr w14:val="tx1"/>
            </w14:solidFill>
          </w14:textFill>
        </w:rPr>
        <w:t>四</w:t>
      </w:r>
      <w:r>
        <w:rPr>
          <w:color w:val="000000" w:themeColor="text1"/>
          <w14:textFill>
            <w14:solidFill>
              <w14:schemeClr w14:val="tx1"/>
            </w14:solidFill>
          </w14:textFill>
        </w:rPr>
        <w:t>、相关建议</w:t>
      </w:r>
      <w:bookmarkEnd w:id="41"/>
      <w:bookmarkEnd w:id="42"/>
      <w:bookmarkEnd w:id="43"/>
      <w:bookmarkEnd w:id="44"/>
    </w:p>
    <w:p>
      <w:pPr>
        <w:pStyle w:val="4"/>
        <w:ind w:firstLine="640"/>
        <w:rPr>
          <w:color w:val="000000" w:themeColor="text1"/>
          <w14:textFill>
            <w14:solidFill>
              <w14:schemeClr w14:val="tx1"/>
            </w14:solidFill>
          </w14:textFill>
        </w:rPr>
      </w:pPr>
      <w:bookmarkStart w:id="45" w:name="_Toc51168434"/>
      <w:r>
        <w:rPr>
          <w:rFonts w:hint="eastAsia"/>
          <w:color w:val="000000" w:themeColor="text1"/>
          <w14:textFill>
            <w14:solidFill>
              <w14:schemeClr w14:val="tx1"/>
            </w14:solidFill>
          </w14:textFill>
        </w:rPr>
        <w:t>（一）落实监管职责，有效监控项目实施</w:t>
      </w:r>
      <w:bookmarkEnd w:id="45"/>
    </w:p>
    <w:p>
      <w:pPr>
        <w:ind w:firstLine="640"/>
        <w:rPr>
          <w:color w:val="000000" w:themeColor="text1"/>
          <w14:textFill>
            <w14:solidFill>
              <w14:schemeClr w14:val="tx1"/>
            </w14:solidFill>
          </w14:textFill>
        </w:rPr>
      </w:pPr>
      <w:bookmarkStart w:id="46" w:name="_Hlk50938174"/>
      <w:r>
        <w:rPr>
          <w:rFonts w:hint="eastAsia"/>
          <w:color w:val="000000" w:themeColor="text1"/>
          <w14:textFill>
            <w14:solidFill>
              <w14:schemeClr w14:val="tx1"/>
            </w14:solidFill>
          </w14:textFill>
        </w:rPr>
        <w:t>建议帮扶统筹协调单位区科技工业商务信息化局严格落实《花都区省外对口帮扶（支援）协作资金和项目管理指导意见》要求，进一步完善工作机制，督导、指导前方工作队落实资金使用监管责任，一是强化专项资金执行的指导和监管责任，科学制定项目监督管理计划，定期考核项目执行情况。</w:t>
      </w:r>
      <w:bookmarkEnd w:id="46"/>
      <w:r>
        <w:rPr>
          <w:rFonts w:hint="eastAsia"/>
          <w:color w:val="000000" w:themeColor="text1"/>
          <w14:textFill>
            <w14:solidFill>
              <w14:schemeClr w14:val="tx1"/>
            </w14:solidFill>
          </w14:textFill>
        </w:rPr>
        <w:t>二是注意档案材料的收集整理，定期要求资金使用单位归档并提交相关项目实施材料。</w:t>
      </w:r>
    </w:p>
    <w:p>
      <w:pPr>
        <w:pStyle w:val="4"/>
        <w:ind w:firstLine="640"/>
        <w:rPr>
          <w:color w:val="000000" w:themeColor="text1"/>
          <w14:textFill>
            <w14:solidFill>
              <w14:schemeClr w14:val="tx1"/>
            </w14:solidFill>
          </w14:textFill>
        </w:rPr>
      </w:pPr>
      <w:bookmarkStart w:id="47" w:name="_Toc51168435"/>
      <w:r>
        <w:rPr>
          <w:rFonts w:hint="eastAsia"/>
          <w:color w:val="000000" w:themeColor="text1"/>
          <w14:textFill>
            <w14:solidFill>
              <w14:schemeClr w14:val="tx1"/>
            </w14:solidFill>
          </w14:textFill>
        </w:rPr>
        <w:t>（二）加强财务管理，提高资金支出审核力度</w:t>
      </w:r>
      <w:bookmarkEnd w:id="47"/>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建议各资金使用单位，一是加强资金审核，严格财政资金的使用。二是定期对账目进行核查，及时对不合规账目进行调整处理，注意数字严谨性和勾稽关系。三是加强对财务人员的专业培训，提高专项资金的支出规范性与资金利用率。建议区科技工业商务信息化局及驻地工作队对加大资金监管力度，落实项目资金使用情况，并提供有效的资金支出凭证及原始资料，保证数据的完整性和真实性，为后续内部评估项目资金管理情况提供相关依据。</w:t>
      </w:r>
    </w:p>
    <w:p>
      <w:pPr>
        <w:ind w:firstLine="640"/>
        <w:rPr>
          <w:color w:val="000000" w:themeColor="text1"/>
          <w14:textFill>
            <w14:solidFill>
              <w14:schemeClr w14:val="tx1"/>
            </w14:solidFill>
          </w14:textFill>
        </w:rPr>
      </w:pPr>
    </w:p>
    <w:sectPr>
      <w:headerReference r:id="rId7" w:type="first"/>
      <w:footerReference r:id="rId10" w:type="first"/>
      <w:headerReference r:id="rId5" w:type="default"/>
      <w:footerReference r:id="rId8" w:type="default"/>
      <w:headerReference r:id="rId6" w:type="even"/>
      <w:footerReference r:id="rId9" w:type="even"/>
      <w:pgSz w:w="11906" w:h="16838"/>
      <w:pgMar w:top="1531" w:right="1985" w:bottom="1588" w:left="2098" w:header="851" w:footer="992" w:gutter="0"/>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267767501"/>
      <w:docPartObj>
        <w:docPartGallery w:val="autotext"/>
      </w:docPartObj>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5</w:t>
        </w:r>
        <w:r>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97"/>
    <w:rsid w:val="0000120D"/>
    <w:rsid w:val="0000504F"/>
    <w:rsid w:val="0001320E"/>
    <w:rsid w:val="000153A9"/>
    <w:rsid w:val="00022803"/>
    <w:rsid w:val="00023091"/>
    <w:rsid w:val="00024BBA"/>
    <w:rsid w:val="00031D3A"/>
    <w:rsid w:val="00032B8C"/>
    <w:rsid w:val="00042D93"/>
    <w:rsid w:val="000440A3"/>
    <w:rsid w:val="00054920"/>
    <w:rsid w:val="000552EC"/>
    <w:rsid w:val="00055968"/>
    <w:rsid w:val="00060312"/>
    <w:rsid w:val="00060A52"/>
    <w:rsid w:val="00072F1D"/>
    <w:rsid w:val="00082864"/>
    <w:rsid w:val="00082B32"/>
    <w:rsid w:val="00096F8B"/>
    <w:rsid w:val="00097801"/>
    <w:rsid w:val="000A2118"/>
    <w:rsid w:val="000A354A"/>
    <w:rsid w:val="000A55D9"/>
    <w:rsid w:val="000A588B"/>
    <w:rsid w:val="000B0CAA"/>
    <w:rsid w:val="000B117A"/>
    <w:rsid w:val="000C167A"/>
    <w:rsid w:val="000C180E"/>
    <w:rsid w:val="000C3A0F"/>
    <w:rsid w:val="000C4892"/>
    <w:rsid w:val="000C6EB1"/>
    <w:rsid w:val="000D12CD"/>
    <w:rsid w:val="000D6ADF"/>
    <w:rsid w:val="000E042A"/>
    <w:rsid w:val="000E1E34"/>
    <w:rsid w:val="000E7309"/>
    <w:rsid w:val="000F469F"/>
    <w:rsid w:val="001032BB"/>
    <w:rsid w:val="00105A1E"/>
    <w:rsid w:val="0011405C"/>
    <w:rsid w:val="00115EFD"/>
    <w:rsid w:val="0012334C"/>
    <w:rsid w:val="00124199"/>
    <w:rsid w:val="00134A90"/>
    <w:rsid w:val="00135F82"/>
    <w:rsid w:val="001430CF"/>
    <w:rsid w:val="001437A3"/>
    <w:rsid w:val="00147650"/>
    <w:rsid w:val="001476B1"/>
    <w:rsid w:val="00150259"/>
    <w:rsid w:val="00156671"/>
    <w:rsid w:val="0016135B"/>
    <w:rsid w:val="001626F1"/>
    <w:rsid w:val="001657D7"/>
    <w:rsid w:val="00172024"/>
    <w:rsid w:val="0017374E"/>
    <w:rsid w:val="00180CD8"/>
    <w:rsid w:val="001829E1"/>
    <w:rsid w:val="001829EE"/>
    <w:rsid w:val="00182ACC"/>
    <w:rsid w:val="00184F28"/>
    <w:rsid w:val="001A446A"/>
    <w:rsid w:val="001B1D4E"/>
    <w:rsid w:val="001D519F"/>
    <w:rsid w:val="001D7AB2"/>
    <w:rsid w:val="001E0136"/>
    <w:rsid w:val="001E1711"/>
    <w:rsid w:val="001E20F9"/>
    <w:rsid w:val="001E2C45"/>
    <w:rsid w:val="00212F01"/>
    <w:rsid w:val="002217CB"/>
    <w:rsid w:val="00222D6E"/>
    <w:rsid w:val="00226328"/>
    <w:rsid w:val="002318CF"/>
    <w:rsid w:val="002338BD"/>
    <w:rsid w:val="00237882"/>
    <w:rsid w:val="00242FDB"/>
    <w:rsid w:val="0024436C"/>
    <w:rsid w:val="0024721C"/>
    <w:rsid w:val="002604C5"/>
    <w:rsid w:val="00270C99"/>
    <w:rsid w:val="00277A84"/>
    <w:rsid w:val="00281D92"/>
    <w:rsid w:val="00285338"/>
    <w:rsid w:val="0028738D"/>
    <w:rsid w:val="0029362F"/>
    <w:rsid w:val="0029750C"/>
    <w:rsid w:val="002A4550"/>
    <w:rsid w:val="002A5D34"/>
    <w:rsid w:val="002C03BF"/>
    <w:rsid w:val="002C04EF"/>
    <w:rsid w:val="002C6261"/>
    <w:rsid w:val="002D0DBD"/>
    <w:rsid w:val="002D1CF1"/>
    <w:rsid w:val="002F501C"/>
    <w:rsid w:val="002F760A"/>
    <w:rsid w:val="00300523"/>
    <w:rsid w:val="00300A05"/>
    <w:rsid w:val="00302080"/>
    <w:rsid w:val="00302D83"/>
    <w:rsid w:val="00310DB1"/>
    <w:rsid w:val="003202A4"/>
    <w:rsid w:val="00320C59"/>
    <w:rsid w:val="00332A57"/>
    <w:rsid w:val="0034247A"/>
    <w:rsid w:val="00345875"/>
    <w:rsid w:val="00352F39"/>
    <w:rsid w:val="00354C0F"/>
    <w:rsid w:val="003557A5"/>
    <w:rsid w:val="0036784D"/>
    <w:rsid w:val="00370455"/>
    <w:rsid w:val="00370B68"/>
    <w:rsid w:val="0037553D"/>
    <w:rsid w:val="003767DF"/>
    <w:rsid w:val="00376C97"/>
    <w:rsid w:val="00382A23"/>
    <w:rsid w:val="003846CA"/>
    <w:rsid w:val="00384ACF"/>
    <w:rsid w:val="003A33FA"/>
    <w:rsid w:val="003A4B38"/>
    <w:rsid w:val="003B22BA"/>
    <w:rsid w:val="003B50B3"/>
    <w:rsid w:val="003B69FE"/>
    <w:rsid w:val="003D0656"/>
    <w:rsid w:val="003D1744"/>
    <w:rsid w:val="003D2647"/>
    <w:rsid w:val="003D42FE"/>
    <w:rsid w:val="003F54FC"/>
    <w:rsid w:val="003F7A58"/>
    <w:rsid w:val="004028B1"/>
    <w:rsid w:val="00402D9F"/>
    <w:rsid w:val="004033C6"/>
    <w:rsid w:val="00405B37"/>
    <w:rsid w:val="004078E3"/>
    <w:rsid w:val="00421643"/>
    <w:rsid w:val="004268DA"/>
    <w:rsid w:val="00431E8E"/>
    <w:rsid w:val="004326C1"/>
    <w:rsid w:val="0045117E"/>
    <w:rsid w:val="004514D6"/>
    <w:rsid w:val="0045217C"/>
    <w:rsid w:val="0046105A"/>
    <w:rsid w:val="004660C3"/>
    <w:rsid w:val="004662A4"/>
    <w:rsid w:val="00467E26"/>
    <w:rsid w:val="00473BC2"/>
    <w:rsid w:val="00476764"/>
    <w:rsid w:val="0047785C"/>
    <w:rsid w:val="00480208"/>
    <w:rsid w:val="0048034D"/>
    <w:rsid w:val="00480B8E"/>
    <w:rsid w:val="0048104E"/>
    <w:rsid w:val="004816CB"/>
    <w:rsid w:val="00481C11"/>
    <w:rsid w:val="00492EE7"/>
    <w:rsid w:val="00493EDF"/>
    <w:rsid w:val="004A0B04"/>
    <w:rsid w:val="004A43A3"/>
    <w:rsid w:val="004B0923"/>
    <w:rsid w:val="004B42EF"/>
    <w:rsid w:val="004B78B8"/>
    <w:rsid w:val="004C41DC"/>
    <w:rsid w:val="004D02DC"/>
    <w:rsid w:val="004D338C"/>
    <w:rsid w:val="004D6885"/>
    <w:rsid w:val="004E48F8"/>
    <w:rsid w:val="004E7BFA"/>
    <w:rsid w:val="004E7D93"/>
    <w:rsid w:val="004F0540"/>
    <w:rsid w:val="004F496C"/>
    <w:rsid w:val="005005E1"/>
    <w:rsid w:val="00502764"/>
    <w:rsid w:val="0050357B"/>
    <w:rsid w:val="005137E7"/>
    <w:rsid w:val="0051395E"/>
    <w:rsid w:val="005149BC"/>
    <w:rsid w:val="005303F3"/>
    <w:rsid w:val="00531292"/>
    <w:rsid w:val="0053562A"/>
    <w:rsid w:val="005368BB"/>
    <w:rsid w:val="00540AB9"/>
    <w:rsid w:val="0054407B"/>
    <w:rsid w:val="00545672"/>
    <w:rsid w:val="00547D4F"/>
    <w:rsid w:val="0055375F"/>
    <w:rsid w:val="00556BCD"/>
    <w:rsid w:val="00565CD3"/>
    <w:rsid w:val="005677CB"/>
    <w:rsid w:val="005833AD"/>
    <w:rsid w:val="00584F1F"/>
    <w:rsid w:val="005914A7"/>
    <w:rsid w:val="00596D83"/>
    <w:rsid w:val="005A19F8"/>
    <w:rsid w:val="005A55C3"/>
    <w:rsid w:val="005A7371"/>
    <w:rsid w:val="005A759D"/>
    <w:rsid w:val="005B4EE2"/>
    <w:rsid w:val="005B5B24"/>
    <w:rsid w:val="005C744A"/>
    <w:rsid w:val="005D056D"/>
    <w:rsid w:val="005D66D8"/>
    <w:rsid w:val="005E0DE9"/>
    <w:rsid w:val="005E355B"/>
    <w:rsid w:val="005E43EA"/>
    <w:rsid w:val="005E4C55"/>
    <w:rsid w:val="005E546D"/>
    <w:rsid w:val="005E557B"/>
    <w:rsid w:val="005F096C"/>
    <w:rsid w:val="005F2DD5"/>
    <w:rsid w:val="005F33AC"/>
    <w:rsid w:val="005F7FB5"/>
    <w:rsid w:val="00603071"/>
    <w:rsid w:val="0060334D"/>
    <w:rsid w:val="0060568D"/>
    <w:rsid w:val="006129F3"/>
    <w:rsid w:val="00614D94"/>
    <w:rsid w:val="00623BD4"/>
    <w:rsid w:val="00626A14"/>
    <w:rsid w:val="00630395"/>
    <w:rsid w:val="006318C4"/>
    <w:rsid w:val="00635611"/>
    <w:rsid w:val="006406E7"/>
    <w:rsid w:val="006415B2"/>
    <w:rsid w:val="00641B71"/>
    <w:rsid w:val="00642820"/>
    <w:rsid w:val="006428BC"/>
    <w:rsid w:val="00644593"/>
    <w:rsid w:val="00660603"/>
    <w:rsid w:val="00662207"/>
    <w:rsid w:val="00665558"/>
    <w:rsid w:val="00666056"/>
    <w:rsid w:val="00671AF7"/>
    <w:rsid w:val="00684490"/>
    <w:rsid w:val="00686F66"/>
    <w:rsid w:val="0069652A"/>
    <w:rsid w:val="006B4688"/>
    <w:rsid w:val="006C3AE6"/>
    <w:rsid w:val="006D4CAC"/>
    <w:rsid w:val="006E4A2F"/>
    <w:rsid w:val="006E5460"/>
    <w:rsid w:val="006E649B"/>
    <w:rsid w:val="006F4778"/>
    <w:rsid w:val="006F6B1D"/>
    <w:rsid w:val="006F6D82"/>
    <w:rsid w:val="00700E82"/>
    <w:rsid w:val="00706F0A"/>
    <w:rsid w:val="0071241A"/>
    <w:rsid w:val="00723C51"/>
    <w:rsid w:val="00723F2D"/>
    <w:rsid w:val="00733E34"/>
    <w:rsid w:val="00743A54"/>
    <w:rsid w:val="00753D8E"/>
    <w:rsid w:val="007615CA"/>
    <w:rsid w:val="00761FCE"/>
    <w:rsid w:val="00764F44"/>
    <w:rsid w:val="00765E33"/>
    <w:rsid w:val="007665B5"/>
    <w:rsid w:val="00774D3C"/>
    <w:rsid w:val="00775D15"/>
    <w:rsid w:val="00786668"/>
    <w:rsid w:val="00791413"/>
    <w:rsid w:val="007914EF"/>
    <w:rsid w:val="007A3215"/>
    <w:rsid w:val="007A4ED4"/>
    <w:rsid w:val="007A663A"/>
    <w:rsid w:val="007A7DAD"/>
    <w:rsid w:val="007B01FC"/>
    <w:rsid w:val="007B3780"/>
    <w:rsid w:val="007B6254"/>
    <w:rsid w:val="007C112F"/>
    <w:rsid w:val="007C62C5"/>
    <w:rsid w:val="007D00AF"/>
    <w:rsid w:val="007D1C1A"/>
    <w:rsid w:val="007D3116"/>
    <w:rsid w:val="007D4DDC"/>
    <w:rsid w:val="007D56CF"/>
    <w:rsid w:val="007E175C"/>
    <w:rsid w:val="007E4816"/>
    <w:rsid w:val="007F0C55"/>
    <w:rsid w:val="007F2AC2"/>
    <w:rsid w:val="007F538D"/>
    <w:rsid w:val="007F58CD"/>
    <w:rsid w:val="0080234D"/>
    <w:rsid w:val="00802BAD"/>
    <w:rsid w:val="00804AFA"/>
    <w:rsid w:val="00805607"/>
    <w:rsid w:val="008122D2"/>
    <w:rsid w:val="0081410F"/>
    <w:rsid w:val="008171C8"/>
    <w:rsid w:val="00826B1F"/>
    <w:rsid w:val="00827A11"/>
    <w:rsid w:val="00833ECD"/>
    <w:rsid w:val="00834F5E"/>
    <w:rsid w:val="00837753"/>
    <w:rsid w:val="00841D22"/>
    <w:rsid w:val="00842665"/>
    <w:rsid w:val="00845C1D"/>
    <w:rsid w:val="008509EF"/>
    <w:rsid w:val="00855547"/>
    <w:rsid w:val="00857314"/>
    <w:rsid w:val="00862921"/>
    <w:rsid w:val="00865305"/>
    <w:rsid w:val="00865CCC"/>
    <w:rsid w:val="00865E9F"/>
    <w:rsid w:val="00866D4F"/>
    <w:rsid w:val="00870B1E"/>
    <w:rsid w:val="00870F6B"/>
    <w:rsid w:val="008758F9"/>
    <w:rsid w:val="008800EC"/>
    <w:rsid w:val="008937CF"/>
    <w:rsid w:val="008946F4"/>
    <w:rsid w:val="008A0DE0"/>
    <w:rsid w:val="008A1AE9"/>
    <w:rsid w:val="008A5E43"/>
    <w:rsid w:val="008C08D1"/>
    <w:rsid w:val="008C745D"/>
    <w:rsid w:val="008D2C0C"/>
    <w:rsid w:val="008D62C0"/>
    <w:rsid w:val="008E6689"/>
    <w:rsid w:val="008E7EB0"/>
    <w:rsid w:val="008F7D44"/>
    <w:rsid w:val="00900C6D"/>
    <w:rsid w:val="00906AA6"/>
    <w:rsid w:val="00911898"/>
    <w:rsid w:val="00914848"/>
    <w:rsid w:val="00921436"/>
    <w:rsid w:val="009245E1"/>
    <w:rsid w:val="00925C9C"/>
    <w:rsid w:val="009301B8"/>
    <w:rsid w:val="00930309"/>
    <w:rsid w:val="00936F87"/>
    <w:rsid w:val="009402EE"/>
    <w:rsid w:val="009428DB"/>
    <w:rsid w:val="009461E1"/>
    <w:rsid w:val="00955CAF"/>
    <w:rsid w:val="00961913"/>
    <w:rsid w:val="00962B49"/>
    <w:rsid w:val="009746E3"/>
    <w:rsid w:val="009747BD"/>
    <w:rsid w:val="00975095"/>
    <w:rsid w:val="009820F6"/>
    <w:rsid w:val="00982290"/>
    <w:rsid w:val="00987283"/>
    <w:rsid w:val="009964C2"/>
    <w:rsid w:val="009A0FB2"/>
    <w:rsid w:val="009A1D06"/>
    <w:rsid w:val="009B098C"/>
    <w:rsid w:val="009B1EF0"/>
    <w:rsid w:val="009B303A"/>
    <w:rsid w:val="009B5893"/>
    <w:rsid w:val="009C531D"/>
    <w:rsid w:val="009C540F"/>
    <w:rsid w:val="009C6505"/>
    <w:rsid w:val="009C6E35"/>
    <w:rsid w:val="009C6F6C"/>
    <w:rsid w:val="009C7397"/>
    <w:rsid w:val="009D0BAC"/>
    <w:rsid w:val="009D5D1C"/>
    <w:rsid w:val="009D644F"/>
    <w:rsid w:val="009D6B25"/>
    <w:rsid w:val="009E4986"/>
    <w:rsid w:val="009E5C36"/>
    <w:rsid w:val="009F1EF2"/>
    <w:rsid w:val="009F3BC4"/>
    <w:rsid w:val="00A07AC0"/>
    <w:rsid w:val="00A13915"/>
    <w:rsid w:val="00A23C68"/>
    <w:rsid w:val="00A309D5"/>
    <w:rsid w:val="00A31187"/>
    <w:rsid w:val="00A359FC"/>
    <w:rsid w:val="00A37195"/>
    <w:rsid w:val="00A40FDF"/>
    <w:rsid w:val="00A45E8A"/>
    <w:rsid w:val="00A4614F"/>
    <w:rsid w:val="00A5168E"/>
    <w:rsid w:val="00A53C45"/>
    <w:rsid w:val="00A5553C"/>
    <w:rsid w:val="00A55A3F"/>
    <w:rsid w:val="00A56AA1"/>
    <w:rsid w:val="00A57076"/>
    <w:rsid w:val="00A6312D"/>
    <w:rsid w:val="00A646EE"/>
    <w:rsid w:val="00A70DBF"/>
    <w:rsid w:val="00A75A26"/>
    <w:rsid w:val="00A911AB"/>
    <w:rsid w:val="00A91F1D"/>
    <w:rsid w:val="00AA0B3A"/>
    <w:rsid w:val="00AA3281"/>
    <w:rsid w:val="00AB0D78"/>
    <w:rsid w:val="00AB1428"/>
    <w:rsid w:val="00AB5FBA"/>
    <w:rsid w:val="00AB7533"/>
    <w:rsid w:val="00AC21CE"/>
    <w:rsid w:val="00AD48F3"/>
    <w:rsid w:val="00AE1211"/>
    <w:rsid w:val="00AE6C51"/>
    <w:rsid w:val="00AF163A"/>
    <w:rsid w:val="00AF1D57"/>
    <w:rsid w:val="00B03EFA"/>
    <w:rsid w:val="00B1498E"/>
    <w:rsid w:val="00B14E4E"/>
    <w:rsid w:val="00B32B15"/>
    <w:rsid w:val="00B366F3"/>
    <w:rsid w:val="00B465BB"/>
    <w:rsid w:val="00B50559"/>
    <w:rsid w:val="00B5237C"/>
    <w:rsid w:val="00B53EA2"/>
    <w:rsid w:val="00B53F90"/>
    <w:rsid w:val="00B57C74"/>
    <w:rsid w:val="00B64160"/>
    <w:rsid w:val="00B81A24"/>
    <w:rsid w:val="00B83A61"/>
    <w:rsid w:val="00B86E66"/>
    <w:rsid w:val="00B86EEC"/>
    <w:rsid w:val="00B91588"/>
    <w:rsid w:val="00B91636"/>
    <w:rsid w:val="00BA49A6"/>
    <w:rsid w:val="00BB1861"/>
    <w:rsid w:val="00BC10C7"/>
    <w:rsid w:val="00BC1D95"/>
    <w:rsid w:val="00BC7171"/>
    <w:rsid w:val="00BD3898"/>
    <w:rsid w:val="00BD65B8"/>
    <w:rsid w:val="00BF068D"/>
    <w:rsid w:val="00BF2370"/>
    <w:rsid w:val="00BF2619"/>
    <w:rsid w:val="00BF2BE6"/>
    <w:rsid w:val="00BF2D0B"/>
    <w:rsid w:val="00BF4F29"/>
    <w:rsid w:val="00C006EE"/>
    <w:rsid w:val="00C143B6"/>
    <w:rsid w:val="00C21D94"/>
    <w:rsid w:val="00C27D16"/>
    <w:rsid w:val="00C321D8"/>
    <w:rsid w:val="00C53EA9"/>
    <w:rsid w:val="00C55BEB"/>
    <w:rsid w:val="00C67277"/>
    <w:rsid w:val="00C76032"/>
    <w:rsid w:val="00C774D8"/>
    <w:rsid w:val="00C81BA3"/>
    <w:rsid w:val="00C8284B"/>
    <w:rsid w:val="00C86F8C"/>
    <w:rsid w:val="00C96052"/>
    <w:rsid w:val="00CA23A2"/>
    <w:rsid w:val="00CA4F02"/>
    <w:rsid w:val="00CA656C"/>
    <w:rsid w:val="00CB77A4"/>
    <w:rsid w:val="00CC008C"/>
    <w:rsid w:val="00CC03CE"/>
    <w:rsid w:val="00CC1771"/>
    <w:rsid w:val="00CC1DC0"/>
    <w:rsid w:val="00CD4701"/>
    <w:rsid w:val="00CD6B2E"/>
    <w:rsid w:val="00CE180A"/>
    <w:rsid w:val="00CE25C6"/>
    <w:rsid w:val="00CE5EC3"/>
    <w:rsid w:val="00CF13A8"/>
    <w:rsid w:val="00CF3E62"/>
    <w:rsid w:val="00CF400D"/>
    <w:rsid w:val="00D012C1"/>
    <w:rsid w:val="00D02F57"/>
    <w:rsid w:val="00D06615"/>
    <w:rsid w:val="00D076F0"/>
    <w:rsid w:val="00D1439A"/>
    <w:rsid w:val="00D14A8E"/>
    <w:rsid w:val="00D14BCD"/>
    <w:rsid w:val="00D173E2"/>
    <w:rsid w:val="00D17C96"/>
    <w:rsid w:val="00D22002"/>
    <w:rsid w:val="00D22AFE"/>
    <w:rsid w:val="00D24BDE"/>
    <w:rsid w:val="00D26416"/>
    <w:rsid w:val="00D31B74"/>
    <w:rsid w:val="00D36AFA"/>
    <w:rsid w:val="00D401B1"/>
    <w:rsid w:val="00D50F35"/>
    <w:rsid w:val="00D52D51"/>
    <w:rsid w:val="00D57639"/>
    <w:rsid w:val="00D605AC"/>
    <w:rsid w:val="00D63187"/>
    <w:rsid w:val="00D6328F"/>
    <w:rsid w:val="00D63713"/>
    <w:rsid w:val="00D63809"/>
    <w:rsid w:val="00D64422"/>
    <w:rsid w:val="00D65153"/>
    <w:rsid w:val="00D674DB"/>
    <w:rsid w:val="00D67CC7"/>
    <w:rsid w:val="00D757F0"/>
    <w:rsid w:val="00D820E1"/>
    <w:rsid w:val="00D84245"/>
    <w:rsid w:val="00D93954"/>
    <w:rsid w:val="00DA1EA5"/>
    <w:rsid w:val="00DA4300"/>
    <w:rsid w:val="00DA522C"/>
    <w:rsid w:val="00DA523F"/>
    <w:rsid w:val="00DA5A48"/>
    <w:rsid w:val="00DB48CB"/>
    <w:rsid w:val="00DC5025"/>
    <w:rsid w:val="00DD218D"/>
    <w:rsid w:val="00DE0EF5"/>
    <w:rsid w:val="00DE593D"/>
    <w:rsid w:val="00DE6F56"/>
    <w:rsid w:val="00DF381E"/>
    <w:rsid w:val="00E0266A"/>
    <w:rsid w:val="00E03AFC"/>
    <w:rsid w:val="00E06B3E"/>
    <w:rsid w:val="00E0711F"/>
    <w:rsid w:val="00E073A9"/>
    <w:rsid w:val="00E15A3D"/>
    <w:rsid w:val="00E169ED"/>
    <w:rsid w:val="00E17C0C"/>
    <w:rsid w:val="00E20172"/>
    <w:rsid w:val="00E2195D"/>
    <w:rsid w:val="00E220CA"/>
    <w:rsid w:val="00E23508"/>
    <w:rsid w:val="00E23C48"/>
    <w:rsid w:val="00E24184"/>
    <w:rsid w:val="00E24331"/>
    <w:rsid w:val="00E2473F"/>
    <w:rsid w:val="00E25F74"/>
    <w:rsid w:val="00E300DA"/>
    <w:rsid w:val="00E34961"/>
    <w:rsid w:val="00E379B2"/>
    <w:rsid w:val="00E44EC6"/>
    <w:rsid w:val="00E63166"/>
    <w:rsid w:val="00E67C7C"/>
    <w:rsid w:val="00E929E8"/>
    <w:rsid w:val="00E93662"/>
    <w:rsid w:val="00E94B5D"/>
    <w:rsid w:val="00E96EA4"/>
    <w:rsid w:val="00E971FF"/>
    <w:rsid w:val="00EA723E"/>
    <w:rsid w:val="00EB51A3"/>
    <w:rsid w:val="00EB6EF9"/>
    <w:rsid w:val="00EB7103"/>
    <w:rsid w:val="00EB775D"/>
    <w:rsid w:val="00EC59F4"/>
    <w:rsid w:val="00EC6BE3"/>
    <w:rsid w:val="00ED2426"/>
    <w:rsid w:val="00EE2658"/>
    <w:rsid w:val="00EE39DE"/>
    <w:rsid w:val="00EF58FA"/>
    <w:rsid w:val="00F06898"/>
    <w:rsid w:val="00F11CFC"/>
    <w:rsid w:val="00F1545E"/>
    <w:rsid w:val="00F2234E"/>
    <w:rsid w:val="00F32F90"/>
    <w:rsid w:val="00F35828"/>
    <w:rsid w:val="00F36404"/>
    <w:rsid w:val="00F37D70"/>
    <w:rsid w:val="00F41104"/>
    <w:rsid w:val="00F454F7"/>
    <w:rsid w:val="00F54572"/>
    <w:rsid w:val="00F55442"/>
    <w:rsid w:val="00F61D9B"/>
    <w:rsid w:val="00F64D71"/>
    <w:rsid w:val="00F6539C"/>
    <w:rsid w:val="00F70464"/>
    <w:rsid w:val="00F76979"/>
    <w:rsid w:val="00F800D4"/>
    <w:rsid w:val="00F81EAE"/>
    <w:rsid w:val="00F82E77"/>
    <w:rsid w:val="00F8623C"/>
    <w:rsid w:val="00F93E67"/>
    <w:rsid w:val="00F96CED"/>
    <w:rsid w:val="00FA0AC5"/>
    <w:rsid w:val="00FB05EB"/>
    <w:rsid w:val="00FB7F05"/>
    <w:rsid w:val="00FC1401"/>
    <w:rsid w:val="00FC3940"/>
    <w:rsid w:val="00FC5CDD"/>
    <w:rsid w:val="00FD36C9"/>
    <w:rsid w:val="00FD414D"/>
    <w:rsid w:val="00FD4C04"/>
    <w:rsid w:val="00FE183D"/>
    <w:rsid w:val="00FE28E0"/>
    <w:rsid w:val="00FE5540"/>
    <w:rsid w:val="00FE56E9"/>
    <w:rsid w:val="00FE70D0"/>
    <w:rsid w:val="00FF10A1"/>
    <w:rsid w:val="00FF180A"/>
    <w:rsid w:val="00FF3285"/>
    <w:rsid w:val="0C5B2F28"/>
    <w:rsid w:val="21B55B06"/>
    <w:rsid w:val="31AD2424"/>
    <w:rsid w:val="4CA72DE8"/>
    <w:rsid w:val="5DDF7EE9"/>
    <w:rsid w:val="692C34AA"/>
    <w:rsid w:val="699953C6"/>
    <w:rsid w:val="6B475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3"/>
    <w:qFormat/>
    <w:uiPriority w:val="9"/>
    <w:pPr>
      <w:spacing w:line="600" w:lineRule="exact"/>
      <w:outlineLvl w:val="0"/>
    </w:pPr>
    <w:rPr>
      <w:rFonts w:eastAsia="黑体"/>
      <w:bCs/>
      <w:kern w:val="44"/>
      <w:szCs w:val="44"/>
    </w:rPr>
  </w:style>
  <w:style w:type="paragraph" w:styleId="4">
    <w:name w:val="heading 2"/>
    <w:basedOn w:val="1"/>
    <w:next w:val="1"/>
    <w:link w:val="24"/>
    <w:unhideWhenUsed/>
    <w:qFormat/>
    <w:uiPriority w:val="9"/>
    <w:pPr>
      <w:spacing w:line="600" w:lineRule="exact"/>
      <w:outlineLvl w:val="1"/>
    </w:pPr>
    <w:rPr>
      <w:rFonts w:eastAsia="楷体_GB2312" w:cstheme="majorBidi"/>
      <w:bCs/>
      <w:szCs w:val="32"/>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unhideWhenUsed/>
    <w:qFormat/>
    <w:uiPriority w:val="9"/>
    <w:pPr>
      <w:outlineLvl w:val="3"/>
    </w:p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7">
    <w:name w:val="Document Map"/>
    <w:basedOn w:val="1"/>
    <w:link w:val="31"/>
    <w:semiHidden/>
    <w:unhideWhenUsed/>
    <w:qFormat/>
    <w:uiPriority w:val="99"/>
    <w:rPr>
      <w:rFonts w:ascii="宋体"/>
      <w:sz w:val="18"/>
      <w:szCs w:val="18"/>
    </w:rPr>
  </w:style>
  <w:style w:type="paragraph" w:styleId="8">
    <w:name w:val="annotation text"/>
    <w:basedOn w:val="1"/>
    <w:link w:val="32"/>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9"/>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5"/>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line="440" w:lineRule="exact"/>
      <w:ind w:firstLine="0" w:firstLineChars="0"/>
    </w:pPr>
    <w:rPr>
      <w:rFonts w:eastAsia="黑体"/>
      <w:bCs/>
      <w:szCs w:val="28"/>
    </w:rPr>
  </w:style>
  <w:style w:type="paragraph" w:styleId="14">
    <w:name w:val="Subtitle"/>
    <w:basedOn w:val="1"/>
    <w:next w:val="1"/>
    <w:link w:val="34"/>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line="440" w:lineRule="exact"/>
      <w:ind w:left="100" w:leftChars="100" w:firstLine="0" w:firstLineChars="0"/>
    </w:pPr>
  </w:style>
  <w:style w:type="paragraph" w:styleId="16">
    <w:name w:val="Title"/>
    <w:basedOn w:val="1"/>
    <w:next w:val="1"/>
    <w:link w:val="37"/>
    <w:qFormat/>
    <w:uiPriority w:val="10"/>
    <w:pPr>
      <w:spacing w:before="240" w:after="60"/>
      <w:jc w:val="center"/>
      <w:outlineLvl w:val="0"/>
    </w:pPr>
    <w:rPr>
      <w:rFonts w:asciiTheme="majorHAnsi" w:hAnsiTheme="majorHAnsi" w:eastAsiaTheme="majorEastAsia" w:cstheme="majorBidi"/>
      <w:b/>
      <w:bCs/>
      <w:szCs w:val="32"/>
    </w:rPr>
  </w:style>
  <w:style w:type="paragraph" w:styleId="17">
    <w:name w:val="annotation subject"/>
    <w:basedOn w:val="8"/>
    <w:next w:val="8"/>
    <w:link w:val="33"/>
    <w:semiHidden/>
    <w:unhideWhenUsed/>
    <w:qFormat/>
    <w:uiPriority w:val="99"/>
    <w:rPr>
      <w:b/>
      <w:bCs/>
    </w:r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character" w:styleId="21">
    <w:name w:val="annotation reference"/>
    <w:basedOn w:val="19"/>
    <w:semiHidden/>
    <w:unhideWhenUsed/>
    <w:qFormat/>
    <w:uiPriority w:val="99"/>
    <w:rPr>
      <w:sz w:val="21"/>
      <w:szCs w:val="21"/>
    </w:rPr>
  </w:style>
  <w:style w:type="paragraph" w:customStyle="1" w:styleId="22">
    <w:name w:val="表格"/>
    <w:basedOn w:val="1"/>
    <w:link w:val="36"/>
    <w:qFormat/>
    <w:uiPriority w:val="0"/>
    <w:pPr>
      <w:spacing w:line="280" w:lineRule="exact"/>
      <w:ind w:firstLine="0" w:firstLineChars="0"/>
    </w:pPr>
    <w:rPr>
      <w:sz w:val="24"/>
    </w:rPr>
  </w:style>
  <w:style w:type="character" w:customStyle="1" w:styleId="23">
    <w:name w:val="标题 1 字符"/>
    <w:basedOn w:val="19"/>
    <w:link w:val="3"/>
    <w:qFormat/>
    <w:uiPriority w:val="9"/>
    <w:rPr>
      <w:rFonts w:eastAsia="黑体"/>
      <w:bCs/>
      <w:kern w:val="44"/>
      <w:sz w:val="32"/>
      <w:szCs w:val="44"/>
    </w:rPr>
  </w:style>
  <w:style w:type="character" w:customStyle="1" w:styleId="24">
    <w:name w:val="标题 2 字符"/>
    <w:basedOn w:val="19"/>
    <w:link w:val="4"/>
    <w:qFormat/>
    <w:uiPriority w:val="9"/>
    <w:rPr>
      <w:rFonts w:eastAsia="楷体_GB2312" w:cstheme="majorBidi"/>
      <w:bCs/>
      <w:kern w:val="2"/>
      <w:sz w:val="32"/>
      <w:szCs w:val="32"/>
    </w:rPr>
  </w:style>
  <w:style w:type="character" w:customStyle="1" w:styleId="25">
    <w:name w:val="页眉 字符"/>
    <w:link w:val="12"/>
    <w:qFormat/>
    <w:uiPriority w:val="99"/>
    <w:rPr>
      <w:sz w:val="18"/>
      <w:szCs w:val="18"/>
    </w:rPr>
  </w:style>
  <w:style w:type="character" w:customStyle="1" w:styleId="26">
    <w:name w:val="页脚 字符"/>
    <w:link w:val="11"/>
    <w:qFormat/>
    <w:uiPriority w:val="99"/>
    <w:rPr>
      <w:sz w:val="18"/>
      <w:szCs w:val="18"/>
    </w:rPr>
  </w:style>
  <w:style w:type="character" w:customStyle="1" w:styleId="27">
    <w:name w:val="页眉 字符1"/>
    <w:basedOn w:val="19"/>
    <w:semiHidden/>
    <w:qFormat/>
    <w:uiPriority w:val="99"/>
    <w:rPr>
      <w:rFonts w:ascii="Times New Roman" w:hAnsi="Times New Roman" w:eastAsia="宋体" w:cs="Times New Roman"/>
      <w:sz w:val="18"/>
      <w:szCs w:val="18"/>
    </w:rPr>
  </w:style>
  <w:style w:type="character" w:customStyle="1" w:styleId="28">
    <w:name w:val="页脚 字符1"/>
    <w:basedOn w:val="19"/>
    <w:semiHidden/>
    <w:qFormat/>
    <w:uiPriority w:val="99"/>
    <w:rPr>
      <w:rFonts w:ascii="Times New Roman" w:hAnsi="Times New Roman" w:eastAsia="宋体" w:cs="Times New Roman"/>
      <w:sz w:val="18"/>
      <w:szCs w:val="18"/>
    </w:rPr>
  </w:style>
  <w:style w:type="character" w:customStyle="1" w:styleId="29">
    <w:name w:val="批注框文本 字符"/>
    <w:basedOn w:val="19"/>
    <w:link w:val="10"/>
    <w:semiHidden/>
    <w:qFormat/>
    <w:uiPriority w:val="99"/>
    <w:rPr>
      <w:rFonts w:ascii="Times New Roman" w:hAnsi="Times New Roman" w:eastAsia="宋体" w:cs="Times New Roman"/>
      <w:sz w:val="18"/>
      <w:szCs w:val="18"/>
    </w:rPr>
  </w:style>
  <w:style w:type="paragraph" w:customStyle="1" w:styleId="30">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597" w:themeColor="accent1" w:themeShade="BF"/>
      <w:kern w:val="0"/>
      <w:szCs w:val="32"/>
    </w:rPr>
  </w:style>
  <w:style w:type="character" w:customStyle="1" w:styleId="31">
    <w:name w:val="文档结构图 字符"/>
    <w:basedOn w:val="19"/>
    <w:link w:val="7"/>
    <w:semiHidden/>
    <w:qFormat/>
    <w:uiPriority w:val="99"/>
    <w:rPr>
      <w:rFonts w:ascii="宋体" w:hAnsi="Times New Roman" w:eastAsia="宋体" w:cs="Times New Roman"/>
      <w:sz w:val="18"/>
      <w:szCs w:val="18"/>
    </w:rPr>
  </w:style>
  <w:style w:type="character" w:customStyle="1" w:styleId="32">
    <w:name w:val="批注文字 字符"/>
    <w:basedOn w:val="19"/>
    <w:link w:val="8"/>
    <w:semiHidden/>
    <w:qFormat/>
    <w:uiPriority w:val="99"/>
    <w:rPr>
      <w:rFonts w:ascii="Times New Roman" w:hAnsi="Times New Roman" w:eastAsia="宋体" w:cs="Times New Roman"/>
      <w:szCs w:val="24"/>
    </w:rPr>
  </w:style>
  <w:style w:type="character" w:customStyle="1" w:styleId="33">
    <w:name w:val="批注主题 字符"/>
    <w:basedOn w:val="32"/>
    <w:link w:val="17"/>
    <w:semiHidden/>
    <w:qFormat/>
    <w:uiPriority w:val="99"/>
    <w:rPr>
      <w:rFonts w:ascii="Times New Roman" w:hAnsi="Times New Roman" w:eastAsia="宋体" w:cs="Times New Roman"/>
      <w:b/>
      <w:bCs/>
      <w:szCs w:val="24"/>
    </w:rPr>
  </w:style>
  <w:style w:type="character" w:customStyle="1" w:styleId="34">
    <w:name w:val="副标题 字符"/>
    <w:basedOn w:val="19"/>
    <w:link w:val="14"/>
    <w:qFormat/>
    <w:uiPriority w:val="11"/>
    <w:rPr>
      <w:rFonts w:asciiTheme="majorHAnsi" w:hAnsiTheme="majorHAnsi" w:cstheme="majorBidi"/>
      <w:b/>
      <w:bCs/>
      <w:kern w:val="28"/>
      <w:sz w:val="32"/>
      <w:szCs w:val="32"/>
    </w:rPr>
  </w:style>
  <w:style w:type="table" w:customStyle="1" w:styleId="35">
    <w:name w:val="网格型6"/>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表格 字符"/>
    <w:basedOn w:val="19"/>
    <w:link w:val="22"/>
    <w:qFormat/>
    <w:uiPriority w:val="0"/>
    <w:rPr>
      <w:rFonts w:eastAsia="仿宋_GB2312"/>
      <w:kern w:val="2"/>
      <w:sz w:val="24"/>
      <w:szCs w:val="24"/>
    </w:rPr>
  </w:style>
  <w:style w:type="character" w:customStyle="1" w:styleId="37">
    <w:name w:val="标题 字符"/>
    <w:basedOn w:val="19"/>
    <w:link w:val="16"/>
    <w:qFormat/>
    <w:uiPriority w:val="10"/>
    <w:rPr>
      <w:rFonts w:asciiTheme="majorHAnsi" w:hAnsiTheme="majorHAnsi" w:eastAsiaTheme="majorEastAsia" w:cstheme="majorBidi"/>
      <w:b/>
      <w:bCs/>
      <w:kern w:val="2"/>
      <w:sz w:val="32"/>
      <w:szCs w:val="32"/>
    </w:rPr>
  </w:style>
  <w:style w:type="paragraph" w:customStyle="1" w:styleId="38">
    <w:name w:val="表题"/>
    <w:basedOn w:val="1"/>
    <w:link w:val="39"/>
    <w:qFormat/>
    <w:uiPriority w:val="0"/>
    <w:pPr>
      <w:keepNext/>
      <w:ind w:firstLine="0" w:firstLineChars="0"/>
      <w:jc w:val="center"/>
    </w:pPr>
    <w:rPr>
      <w:b/>
      <w:sz w:val="28"/>
    </w:rPr>
  </w:style>
  <w:style w:type="character" w:customStyle="1" w:styleId="39">
    <w:name w:val="表题 字符"/>
    <w:basedOn w:val="19"/>
    <w:link w:val="38"/>
    <w:qFormat/>
    <w:uiPriority w:val="0"/>
    <w:rPr>
      <w:rFonts w:eastAsia="仿宋_GB2312"/>
      <w:b/>
      <w:kern w:val="2"/>
      <w:sz w:val="28"/>
      <w:szCs w:val="24"/>
    </w:rPr>
  </w:style>
  <w:style w:type="paragraph" w:customStyle="1" w:styleId="40">
    <w:name w:val="TOC 标题2"/>
    <w:basedOn w:val="3"/>
    <w:next w:val="1"/>
    <w:unhideWhenUsed/>
    <w:qFormat/>
    <w:uiPriority w:val="39"/>
    <w:pPr>
      <w:keepNext/>
      <w:keepLines/>
      <w:widowControl/>
      <w:adjustRightInd/>
      <w:spacing w:before="240" w:line="259" w:lineRule="auto"/>
      <w:ind w:firstLine="0" w:firstLineChars="0"/>
      <w:jc w:val="left"/>
      <w:outlineLvl w:val="9"/>
    </w:pPr>
    <w:rPr>
      <w:rFonts w:asciiTheme="majorHAnsi" w:hAnsiTheme="majorHAnsi" w:eastAsiaTheme="majorEastAsia" w:cstheme="majorBidi"/>
      <w:bCs w:val="0"/>
      <w:color w:val="2F5597"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5D82D-A005-414A-956D-9E8C8D7767F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270</Words>
  <Characters>1545</Characters>
  <Lines>12</Lines>
  <Paragraphs>3</Paragraphs>
  <TotalTime>15</TotalTime>
  <ScaleCrop>false</ScaleCrop>
  <LinksUpToDate>false</LinksUpToDate>
  <CharactersWithSpaces>1812</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2020-09-23T08:53:00Z</dcterms:created>
  <dc:creator>13502645754@163.com</dc:creator>
  <cp:lastModifiedBy>小</cp:lastModifiedBy>
  <cp:lastPrinted>2019-09-12T03:45:00Z</cp:lastPrinted>
  <dcterms:modified xsi:type="dcterms:W3CDTF">2021-04-01T10:06:17Z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18497B1CB5D349F3AAC02123B41797B6</vt:lpwstr>
  </property>
</Properties>
</file>