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70" w:lineRule="exact"/>
        <w:ind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花都区“厕所革命”三年行动计划</w:t>
      </w:r>
    </w:p>
    <w:p>
      <w:pPr>
        <w:keepNext w:val="0"/>
        <w:keepLines w:val="0"/>
        <w:pageBreakBefore w:val="0"/>
        <w:widowControl w:val="0"/>
        <w:kinsoku/>
        <w:wordWrap/>
        <w:overflowPunct/>
        <w:topLinePunct w:val="0"/>
        <w:autoSpaceDE/>
        <w:autoSpaceDN/>
        <w:bidi w:val="0"/>
        <w:adjustRightInd w:val="0"/>
        <w:snapToGrid w:val="0"/>
        <w:spacing w:line="570" w:lineRule="exact"/>
        <w:ind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—转移支付各镇街（2019</w:t>
      </w:r>
      <w:r>
        <w:rPr>
          <w:rFonts w:hint="eastAsia" w:ascii="方正小标宋简体" w:hAnsi="方正小标宋简体" w:eastAsia="方正小标宋简体" w:cs="方正小标宋简体"/>
          <w:sz w:val="44"/>
          <w:szCs w:val="44"/>
          <w:highlight w:val="none"/>
        </w:rPr>
        <w:t>-2020年</w:t>
      </w:r>
      <w:r>
        <w:rPr>
          <w:rFonts w:hint="eastAsia" w:ascii="方正小标宋简体" w:hAnsi="方正小标宋简体" w:eastAsia="方正小标宋简体" w:cs="方正小标宋简体"/>
          <w:sz w:val="44"/>
          <w:szCs w:val="44"/>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0" w:firstLineChars="0"/>
        <w:jc w:val="center"/>
        <w:textAlignment w:val="auto"/>
        <w:rPr>
          <w:rFonts w:eastAsia="方正小标宋简体"/>
          <w:sz w:val="44"/>
          <w:szCs w:val="44"/>
        </w:rPr>
      </w:pPr>
      <w:r>
        <w:rPr>
          <w:rFonts w:hint="eastAsia" w:ascii="方正小标宋简体" w:hAnsi="方正小标宋简体" w:eastAsia="方正小标宋简体" w:cs="方正小标宋简体"/>
          <w:sz w:val="44"/>
          <w:szCs w:val="44"/>
        </w:rPr>
        <w:t>专项资金绩效重点评价简要报告</w:t>
      </w:r>
    </w:p>
    <w:p>
      <w:pPr>
        <w:keepNext w:val="0"/>
        <w:keepLines w:val="0"/>
        <w:pageBreakBefore w:val="0"/>
        <w:widowControl w:val="0"/>
        <w:kinsoku/>
        <w:wordWrap/>
        <w:overflowPunct/>
        <w:topLinePunct w:val="0"/>
        <w:autoSpaceDE/>
        <w:autoSpaceDN/>
        <w:bidi w:val="0"/>
        <w:adjustRightInd w:val="0"/>
        <w:spacing w:line="570" w:lineRule="exact"/>
        <w:ind w:firstLine="0" w:firstLineChars="0"/>
        <w:jc w:val="center"/>
        <w:textAlignment w:val="auto"/>
      </w:pPr>
      <w:r>
        <w:t>致同会计师事务所（特殊普通合伙）广州分所</w:t>
      </w:r>
    </w:p>
    <w:p>
      <w:pPr>
        <w:keepNext w:val="0"/>
        <w:keepLines w:val="0"/>
        <w:pageBreakBefore w:val="0"/>
        <w:widowControl w:val="0"/>
        <w:kinsoku/>
        <w:wordWrap/>
        <w:overflowPunct/>
        <w:topLinePunct w:val="0"/>
        <w:autoSpaceDE/>
        <w:autoSpaceDN/>
        <w:bidi w:val="0"/>
        <w:adjustRightInd w:val="0"/>
        <w:spacing w:line="570" w:lineRule="exact"/>
        <w:ind w:firstLine="640"/>
        <w:textAlignment w:val="auto"/>
      </w:pPr>
    </w:p>
    <w:p>
      <w:pPr>
        <w:keepNext w:val="0"/>
        <w:keepLines w:val="0"/>
        <w:pageBreakBefore w:val="0"/>
        <w:widowControl w:val="0"/>
        <w:tabs>
          <w:tab w:val="center" w:pos="4393"/>
        </w:tabs>
        <w:kinsoku/>
        <w:wordWrap/>
        <w:overflowPunct/>
        <w:topLinePunct w:val="0"/>
        <w:autoSpaceDE/>
        <w:autoSpaceDN/>
        <w:bidi w:val="0"/>
        <w:adjustRightInd w:val="0"/>
        <w:spacing w:line="570" w:lineRule="exact"/>
        <w:ind w:left="0" w:leftChars="0" w:firstLine="640" w:firstLineChars="200"/>
        <w:jc w:val="left"/>
        <w:textAlignment w:val="auto"/>
        <w:rPr>
          <w:b w:val="0"/>
          <w:bCs w:val="0"/>
        </w:rPr>
      </w:pPr>
      <w:bookmarkStart w:id="0" w:name="_Toc19029256"/>
      <w:bookmarkStart w:id="1" w:name="_Toc19050195"/>
      <w:bookmarkStart w:id="2" w:name="_Toc51764256"/>
      <w:bookmarkStart w:id="3" w:name="_Toc16507566"/>
      <w:r>
        <w:rPr>
          <w:rFonts w:hint="eastAsia" w:ascii="黑体" w:hAnsi="黑体" w:eastAsia="黑体" w:cs="黑体"/>
          <w:b w:val="0"/>
          <w:bCs w:val="0"/>
        </w:rPr>
        <w:t>一、</w:t>
      </w:r>
      <w:bookmarkEnd w:id="0"/>
      <w:bookmarkEnd w:id="1"/>
      <w:bookmarkEnd w:id="2"/>
      <w:bookmarkEnd w:id="3"/>
      <w:r>
        <w:rPr>
          <w:rFonts w:hint="eastAsia" w:ascii="黑体" w:hAnsi="黑体" w:eastAsia="黑体" w:cs="黑体"/>
          <w:b w:val="0"/>
          <w:bCs w:val="0"/>
        </w:rPr>
        <w:t>评价概况</w:t>
      </w:r>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rFonts w:cs="Times New Roman"/>
          <w:b w:val="0"/>
          <w:bCs w:val="0"/>
        </w:rPr>
      </w:pPr>
      <w:bookmarkStart w:id="4" w:name="_Toc51764258"/>
      <w:bookmarkStart w:id="5" w:name="_Toc19050196"/>
      <w:bookmarkStart w:id="6" w:name="_Toc19029257"/>
      <w:bookmarkStart w:id="7" w:name="_Toc16507567"/>
      <w:r>
        <w:rPr>
          <w:rFonts w:cs="Times New Roman"/>
          <w:b w:val="0"/>
          <w:bCs w:val="0"/>
        </w:rPr>
        <w:t>（</w:t>
      </w:r>
      <w:r>
        <w:rPr>
          <w:rFonts w:hint="eastAsia" w:cs="Times New Roman"/>
          <w:b w:val="0"/>
          <w:bCs w:val="0"/>
        </w:rPr>
        <w:t>一</w:t>
      </w:r>
      <w:r>
        <w:rPr>
          <w:rFonts w:cs="Times New Roman"/>
          <w:b w:val="0"/>
          <w:bCs w:val="0"/>
        </w:rPr>
        <w:t>）项目背景</w:t>
      </w:r>
      <w:bookmarkEnd w:id="4"/>
      <w:bookmarkEnd w:id="5"/>
      <w:bookmarkEnd w:id="6"/>
      <w:bookmarkEnd w:id="7"/>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r>
        <w:rPr>
          <w:rFonts w:hint="eastAsia"/>
          <w:b w:val="0"/>
          <w:bCs w:val="0"/>
        </w:rPr>
        <w:t>根据</w:t>
      </w:r>
      <w:r>
        <w:rPr>
          <w:rFonts w:hint="eastAsia"/>
          <w:b w:val="0"/>
          <w:bCs w:val="0"/>
          <w:highlight w:val="none"/>
        </w:rPr>
        <w:t>《</w:t>
      </w:r>
      <w:r>
        <w:rPr>
          <w:rFonts w:hint="eastAsia"/>
          <w:b w:val="0"/>
          <w:bCs w:val="0"/>
        </w:rPr>
        <w:t>广州市人民政府办公厅关于印发广州市“厕所革命”三年行动计划（2018</w:t>
      </w:r>
      <w:r>
        <w:rPr>
          <w:rFonts w:hint="eastAsia"/>
          <w:b w:val="0"/>
          <w:bCs w:val="0"/>
          <w:highlight w:val="none"/>
        </w:rPr>
        <w:t>-2020年</w:t>
      </w:r>
      <w:r>
        <w:rPr>
          <w:rFonts w:hint="eastAsia"/>
          <w:b w:val="0"/>
          <w:bCs w:val="0"/>
        </w:rPr>
        <w:t>）的通知</w:t>
      </w:r>
      <w:r>
        <w:rPr>
          <w:rFonts w:hint="eastAsia"/>
          <w:b w:val="0"/>
          <w:bCs w:val="0"/>
          <w:highlight w:val="none"/>
        </w:rPr>
        <w:t>》</w:t>
      </w:r>
      <w:r>
        <w:rPr>
          <w:rFonts w:hint="eastAsia"/>
          <w:b w:val="0"/>
          <w:bCs w:val="0"/>
        </w:rPr>
        <w:t>（穗府办函〔2018〕49号）、</w:t>
      </w:r>
      <w:r>
        <w:rPr>
          <w:rFonts w:hint="eastAsia"/>
          <w:b w:val="0"/>
          <w:bCs w:val="0"/>
          <w:highlight w:val="none"/>
        </w:rPr>
        <w:t>《</w:t>
      </w:r>
      <w:r>
        <w:rPr>
          <w:rFonts w:hint="eastAsia"/>
          <w:b w:val="0"/>
          <w:bCs w:val="0"/>
        </w:rPr>
        <w:t>广州市花都区人民政府办公室关于印发花都区“厕所革命”三年行动计划（2018</w:t>
      </w:r>
      <w:r>
        <w:rPr>
          <w:rFonts w:hint="eastAsia"/>
          <w:b w:val="0"/>
          <w:bCs w:val="0"/>
          <w:highlight w:val="none"/>
        </w:rPr>
        <w:t>-2020年</w:t>
      </w:r>
      <w:r>
        <w:rPr>
          <w:rFonts w:hint="eastAsia"/>
          <w:b w:val="0"/>
          <w:bCs w:val="0"/>
        </w:rPr>
        <w:t>）的通知</w:t>
      </w:r>
      <w:r>
        <w:rPr>
          <w:rFonts w:hint="eastAsia"/>
          <w:b w:val="0"/>
          <w:bCs w:val="0"/>
          <w:highlight w:val="none"/>
        </w:rPr>
        <w:t>》</w:t>
      </w:r>
      <w:r>
        <w:rPr>
          <w:rFonts w:hint="eastAsia"/>
          <w:b w:val="0"/>
          <w:bCs w:val="0"/>
        </w:rPr>
        <w:t>（花府办函〔2018〕115号）等文件，花都区城市管理和综合执法局印发</w:t>
      </w:r>
      <w:r>
        <w:rPr>
          <w:rFonts w:hint="eastAsia"/>
          <w:b w:val="0"/>
          <w:bCs w:val="0"/>
          <w:highlight w:val="none"/>
        </w:rPr>
        <w:t>《</w:t>
      </w:r>
      <w:r>
        <w:rPr>
          <w:rFonts w:hint="eastAsia"/>
          <w:b w:val="0"/>
          <w:bCs w:val="0"/>
        </w:rPr>
        <w:t>广州市花都区城市管理和综合执法局关于印发〈2019年花都区“厕所革命”实施方案〉的通知</w:t>
      </w:r>
      <w:r>
        <w:rPr>
          <w:rFonts w:hint="eastAsia"/>
          <w:b w:val="0"/>
          <w:bCs w:val="0"/>
          <w:highlight w:val="none"/>
        </w:rPr>
        <w:t>》</w:t>
      </w:r>
      <w:r>
        <w:rPr>
          <w:rFonts w:hint="eastAsia"/>
          <w:b w:val="0"/>
          <w:bCs w:val="0"/>
        </w:rPr>
        <w:t>（花城市管理〔2019〕35号），提出用1年时间新建和提质改造乡村公厕和医院公厕，保障建设经费投入，提前完成“厕所革命”三年行动计划，提升花都区公共服务水平和公厕管理质量。</w:t>
      </w:r>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rFonts w:cs="Times New Roman"/>
          <w:b w:val="0"/>
          <w:bCs w:val="0"/>
        </w:rPr>
      </w:pPr>
      <w:bookmarkStart w:id="8" w:name="_Toc18652679"/>
      <w:bookmarkStart w:id="9" w:name="_Toc19050199"/>
      <w:bookmarkStart w:id="10" w:name="_Toc19029260"/>
      <w:bookmarkStart w:id="11" w:name="_Toc51764259"/>
      <w:bookmarkStart w:id="12" w:name="_Toc19050198"/>
      <w:bookmarkStart w:id="13" w:name="_Toc19029259"/>
      <w:bookmarkStart w:id="14" w:name="_Toc16507569"/>
      <w:r>
        <w:rPr>
          <w:rFonts w:cs="Times New Roman"/>
          <w:b w:val="0"/>
          <w:bCs w:val="0"/>
        </w:rPr>
        <w:t>（</w:t>
      </w:r>
      <w:r>
        <w:rPr>
          <w:rFonts w:hint="eastAsia" w:cs="Times New Roman"/>
          <w:b w:val="0"/>
          <w:bCs w:val="0"/>
        </w:rPr>
        <w:t>二</w:t>
      </w:r>
      <w:r>
        <w:rPr>
          <w:rFonts w:cs="Times New Roman"/>
          <w:b w:val="0"/>
          <w:bCs w:val="0"/>
        </w:rPr>
        <w:t>）项目实施概况</w:t>
      </w:r>
      <w:bookmarkEnd w:id="8"/>
      <w:bookmarkEnd w:id="9"/>
      <w:bookmarkEnd w:id="10"/>
      <w:bookmarkEnd w:id="11"/>
    </w:p>
    <w:p>
      <w:pPr>
        <w:keepNext w:val="0"/>
        <w:keepLines w:val="0"/>
        <w:pageBreakBefore w:val="0"/>
        <w:widowControl w:val="0"/>
        <w:kinsoku/>
        <w:wordWrap/>
        <w:overflowPunct/>
        <w:topLinePunct w:val="0"/>
        <w:autoSpaceDE/>
        <w:autoSpaceDN/>
        <w:bidi w:val="0"/>
        <w:adjustRightInd w:val="0"/>
        <w:spacing w:line="570" w:lineRule="exact"/>
        <w:ind w:firstLine="643"/>
        <w:textAlignment w:val="auto"/>
        <w:rPr>
          <w:rFonts w:hint="eastAsia" w:ascii="仿宋_GB2312" w:hAnsi="仿宋_GB2312" w:eastAsia="仿宋_GB2312" w:cs="仿宋_GB2312"/>
          <w:b w:val="0"/>
          <w:bCs w:val="0"/>
        </w:rPr>
      </w:pPr>
      <w:bookmarkStart w:id="15" w:name="_Toc19029261"/>
      <w:r>
        <w:rPr>
          <w:rFonts w:hint="eastAsia" w:ascii="仿宋_GB2312" w:hAnsi="仿宋_GB2312" w:eastAsia="仿宋_GB2312" w:cs="仿宋_GB2312"/>
          <w:b/>
          <w:bCs/>
        </w:rPr>
        <w:t>1.资金使用情况</w:t>
      </w:r>
      <w:bookmarkEnd w:id="15"/>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r>
        <w:rPr>
          <w:b w:val="0"/>
          <w:bCs w:val="0"/>
        </w:rPr>
        <w:t>本项目年初预算金额为6,121.16万元</w:t>
      </w:r>
      <w:r>
        <w:rPr>
          <w:rFonts w:hint="eastAsia"/>
          <w:b w:val="0"/>
          <w:bCs w:val="0"/>
        </w:rPr>
        <w:t>。因年中农村“厕所革命”牵头工作职能调整，部分资金3,060.58万元调整由区农业农村局负责划拨至各镇（街）。截至2019年12月31日，花都区城市管理和综合执法局共拨付资金3,060.58万元至花都区卫生健康局和10个镇（街），预算完成率100%。</w:t>
      </w:r>
    </w:p>
    <w:p>
      <w:pPr>
        <w:keepNext w:val="0"/>
        <w:keepLines w:val="0"/>
        <w:pageBreakBefore w:val="0"/>
        <w:widowControl w:val="0"/>
        <w:kinsoku/>
        <w:wordWrap/>
        <w:overflowPunct/>
        <w:topLinePunct w:val="0"/>
        <w:autoSpaceDE/>
        <w:autoSpaceDN/>
        <w:bidi w:val="0"/>
        <w:adjustRightInd w:val="0"/>
        <w:spacing w:line="570" w:lineRule="exact"/>
        <w:ind w:firstLine="643"/>
        <w:textAlignment w:val="auto"/>
        <w:rPr>
          <w:rFonts w:hint="eastAsia" w:ascii="仿宋_GB2312" w:hAnsi="仿宋_GB2312" w:eastAsia="仿宋_GB2312" w:cs="仿宋_GB2312"/>
          <w:b/>
          <w:bCs/>
        </w:rPr>
      </w:pPr>
      <w:bookmarkStart w:id="16" w:name="_Toc19029262"/>
      <w:r>
        <w:rPr>
          <w:rFonts w:hint="eastAsia" w:ascii="仿宋_GB2312" w:hAnsi="仿宋_GB2312" w:eastAsia="仿宋_GB2312" w:cs="仿宋_GB2312"/>
          <w:b/>
          <w:bCs/>
        </w:rPr>
        <w:t>2.项目实施情况</w:t>
      </w:r>
      <w:bookmarkEnd w:id="16"/>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r>
        <w:rPr>
          <w:rFonts w:hint="eastAsia"/>
          <w:b w:val="0"/>
          <w:bCs w:val="0"/>
        </w:rPr>
        <w:t>花都区城市管理和综合执法局负责督促和指导各建设主体单位完成相关任务，并负责检查和验收2018年建设的33座示范性乡村公厕。区农业农村局负责乡村公厕建设任务推进工作。区卫生健康局和各镇（街）作为实际实施主体，负责统筹和推进各责任单位开展招投标、施工、监理、验收、结算以及日常监管等工作。</w:t>
      </w:r>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rFonts w:cs="Times New Roman"/>
          <w:b w:val="0"/>
          <w:bCs w:val="0"/>
        </w:rPr>
      </w:pPr>
      <w:bookmarkStart w:id="17" w:name="_Toc51764260"/>
      <w:r>
        <w:rPr>
          <w:rFonts w:cs="Times New Roman"/>
          <w:b w:val="0"/>
          <w:bCs w:val="0"/>
        </w:rPr>
        <w:t>（</w:t>
      </w:r>
      <w:r>
        <w:rPr>
          <w:rFonts w:hint="eastAsia" w:cs="Times New Roman"/>
          <w:b w:val="0"/>
          <w:bCs w:val="0"/>
        </w:rPr>
        <w:t>三</w:t>
      </w:r>
      <w:r>
        <w:rPr>
          <w:rFonts w:cs="Times New Roman"/>
          <w:b w:val="0"/>
          <w:bCs w:val="0"/>
        </w:rPr>
        <w:t>）项目绩效目标</w:t>
      </w:r>
      <w:bookmarkEnd w:id="12"/>
      <w:bookmarkEnd w:id="13"/>
      <w:bookmarkEnd w:id="14"/>
      <w:r>
        <w:rPr>
          <w:rFonts w:hint="eastAsia" w:cs="Times New Roman"/>
          <w:b w:val="0"/>
          <w:bCs w:val="0"/>
        </w:rPr>
        <w:t>及完成情况</w:t>
      </w:r>
      <w:bookmarkEnd w:id="17"/>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r>
        <w:rPr>
          <w:rFonts w:hint="eastAsia"/>
          <w:b w:val="0"/>
          <w:bCs w:val="0"/>
        </w:rPr>
        <w:t>本项目绩效目标为利用一年时间，全区188条行政村均覆盖有一座示范性乡村公厕，计划新建和提质改造乡村公厕265座，提质改造医院公厕35座，补充设置一批装配式公厕，男女厕位比例达到2:3以上。截至2019年12月31日，由各镇（街）负责建设的265座乡村公厕已竣工，花都区城市管理和综合执法局负责的33座示范性乡村公厕通过验收，花都区卫生健康局负责的36座医院公厕完成建设。</w:t>
      </w:r>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rFonts w:cs="Times New Roman"/>
          <w:b w:val="0"/>
          <w:bCs w:val="0"/>
        </w:rPr>
      </w:pPr>
      <w:bookmarkStart w:id="18" w:name="_Toc51764267"/>
      <w:bookmarkStart w:id="19" w:name="_Toc16507576"/>
      <w:bookmarkStart w:id="20" w:name="_Toc19050206"/>
      <w:bookmarkStart w:id="21" w:name="_Toc19029277"/>
      <w:bookmarkStart w:id="22" w:name="_Toc51764261"/>
      <w:bookmarkStart w:id="23" w:name="_Toc19029263"/>
      <w:bookmarkStart w:id="24" w:name="_Toc16507570"/>
      <w:bookmarkStart w:id="25" w:name="_Toc19050200"/>
      <w:r>
        <w:rPr>
          <w:rFonts w:cs="Times New Roman"/>
          <w:b w:val="0"/>
          <w:bCs w:val="0"/>
        </w:rPr>
        <w:t>（</w:t>
      </w:r>
      <w:r>
        <w:rPr>
          <w:rFonts w:hint="eastAsia" w:cs="Times New Roman"/>
          <w:b w:val="0"/>
          <w:bCs w:val="0"/>
        </w:rPr>
        <w:t>四</w:t>
      </w:r>
      <w:r>
        <w:rPr>
          <w:rFonts w:cs="Times New Roman"/>
          <w:b w:val="0"/>
          <w:bCs w:val="0"/>
        </w:rPr>
        <w:t>）评价结果</w:t>
      </w:r>
      <w:bookmarkEnd w:id="18"/>
      <w:bookmarkEnd w:id="19"/>
      <w:bookmarkEnd w:id="20"/>
      <w:bookmarkEnd w:id="21"/>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r>
        <w:rPr>
          <w:rFonts w:hint="eastAsia"/>
          <w:b w:val="0"/>
          <w:bCs w:val="0"/>
        </w:rPr>
        <w:t>本次评价采用成本效益分析法、目标结果比较法、因素分析法、公众评判法、穿行测试法等方法，围绕项目安排、管理、绩效、可持续性等方面实施评价，项目绩效评价等级为“良”。</w:t>
      </w:r>
    </w:p>
    <w:bookmarkEnd w:id="22"/>
    <w:bookmarkEnd w:id="23"/>
    <w:bookmarkEnd w:id="24"/>
    <w:bookmarkEnd w:id="25"/>
    <w:p>
      <w:pPr>
        <w:pStyle w:val="2"/>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bookmarkStart w:id="26" w:name="_Toc19029283"/>
      <w:bookmarkStart w:id="27" w:name="_Toc16507578"/>
      <w:bookmarkStart w:id="28" w:name="_Toc51764273"/>
      <w:bookmarkStart w:id="29" w:name="_Toc19050208"/>
      <w:r>
        <w:rPr>
          <w:rFonts w:hint="eastAsia"/>
          <w:b w:val="0"/>
          <w:bCs w:val="0"/>
        </w:rPr>
        <w:t>二</w:t>
      </w:r>
      <w:r>
        <w:rPr>
          <w:b w:val="0"/>
          <w:bCs w:val="0"/>
        </w:rPr>
        <w:t>、主要绩效</w:t>
      </w:r>
      <w:bookmarkEnd w:id="26"/>
      <w:bookmarkEnd w:id="27"/>
      <w:bookmarkEnd w:id="28"/>
      <w:bookmarkEnd w:id="29"/>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bookmarkStart w:id="30" w:name="_Toc51764274"/>
      <w:r>
        <w:rPr>
          <w:rFonts w:hint="eastAsia"/>
          <w:b w:val="0"/>
          <w:bCs w:val="0"/>
        </w:rPr>
        <w:t>（一）提前完成乡村公厕三年建设计划，超额完成市级下达任务</w:t>
      </w:r>
      <w:bookmarkEnd w:id="30"/>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r>
        <w:rPr>
          <w:rFonts w:hint="eastAsia"/>
          <w:b w:val="0"/>
          <w:bCs w:val="0"/>
        </w:rPr>
        <w:t>花都区城市管理和综合执法局根据 “三年计划两年完成”的工作要求，制定</w:t>
      </w:r>
      <w:r>
        <w:rPr>
          <w:rFonts w:hint="eastAsia"/>
          <w:b w:val="0"/>
          <w:bCs w:val="0"/>
          <w:lang w:eastAsia="zh-CN"/>
        </w:rPr>
        <w:t>《</w:t>
      </w:r>
      <w:r>
        <w:rPr>
          <w:rFonts w:hint="eastAsia"/>
          <w:b w:val="0"/>
          <w:bCs w:val="0"/>
        </w:rPr>
        <w:t>2019年花都区“厕所革命”实施方案</w:t>
      </w:r>
      <w:r>
        <w:rPr>
          <w:rFonts w:hint="eastAsia"/>
          <w:b w:val="0"/>
          <w:bCs w:val="0"/>
          <w:highlight w:val="none"/>
        </w:rPr>
        <w:t>》</w:t>
      </w:r>
      <w:r>
        <w:rPr>
          <w:rFonts w:hint="eastAsia"/>
          <w:b w:val="0"/>
          <w:bCs w:val="0"/>
        </w:rPr>
        <w:t>，每月召开全区会议，并在年中配合区农业农村局做好接收乡村厕所建设和管理工作。截至2019年12月31日，全区完成建设乡村公厕265座，竣工率达100%，全面完成市级下达的年度建设任务189座。2018至2019年两个年度合共建设乡村公厕298座，实现全区188条行政村乡村公厕全覆盖。</w:t>
      </w:r>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bookmarkStart w:id="31" w:name="_Toc51764275"/>
      <w:r>
        <w:rPr>
          <w:rFonts w:hint="eastAsia"/>
          <w:b w:val="0"/>
          <w:bCs w:val="0"/>
        </w:rPr>
        <w:t>（二）制定公厕保洁维护管理方案，确保公厕管养有章可循</w:t>
      </w:r>
      <w:bookmarkEnd w:id="31"/>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r>
        <w:rPr>
          <w:rFonts w:hint="eastAsia"/>
          <w:b w:val="0"/>
          <w:bCs w:val="0"/>
        </w:rPr>
        <w:t>花都区城市管理和综合执法局制定了《花都区公共厕所保洁维护长效管理实施方案》，明确卫生保洁标准、设施维护标准和保洁作业规范，实施分类管理，确保全区公厕日常管养工作有章可循，</w:t>
      </w:r>
      <w:r>
        <w:rPr>
          <w:rFonts w:hint="eastAsia"/>
          <w:b w:val="0"/>
          <w:bCs w:val="0"/>
          <w:lang w:eastAsia="zh-CN"/>
        </w:rPr>
        <w:t>并</w:t>
      </w:r>
      <w:bookmarkStart w:id="48" w:name="_GoBack"/>
      <w:bookmarkEnd w:id="48"/>
      <w:r>
        <w:rPr>
          <w:rFonts w:hint="eastAsia"/>
          <w:b w:val="0"/>
          <w:bCs w:val="0"/>
        </w:rPr>
        <w:t>制定了巡查评价办法，建立三级巡查机制，加大问题排查力度，督促各责任单位提高保洁质量和设施管养水平。</w:t>
      </w:r>
    </w:p>
    <w:p>
      <w:pPr>
        <w:pStyle w:val="2"/>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bookmarkStart w:id="32" w:name="_Toc51764276"/>
      <w:bookmarkStart w:id="33" w:name="_Toc19029287"/>
      <w:bookmarkStart w:id="34" w:name="_Toc16507582"/>
      <w:bookmarkStart w:id="35" w:name="_Toc19050212"/>
      <w:r>
        <w:rPr>
          <w:rFonts w:hint="eastAsia"/>
          <w:b w:val="0"/>
          <w:bCs w:val="0"/>
        </w:rPr>
        <w:t>三</w:t>
      </w:r>
      <w:r>
        <w:rPr>
          <w:b w:val="0"/>
          <w:bCs w:val="0"/>
        </w:rPr>
        <w:t>、存在问题</w:t>
      </w:r>
      <w:bookmarkEnd w:id="32"/>
      <w:bookmarkEnd w:id="33"/>
      <w:bookmarkEnd w:id="34"/>
      <w:bookmarkEnd w:id="35"/>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bookmarkStart w:id="36" w:name="_Toc51764277"/>
      <w:r>
        <w:rPr>
          <w:rFonts w:hint="eastAsia"/>
          <w:b w:val="0"/>
          <w:bCs w:val="0"/>
        </w:rPr>
        <w:t>（一）镇（街）统筹推进力度不足，缺乏有效跟踪监管，一定程度上影响整体建设效率</w:t>
      </w:r>
      <w:bookmarkEnd w:id="36"/>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r>
        <w:rPr>
          <w:rFonts w:hint="eastAsia"/>
          <w:b w:val="0"/>
          <w:bCs w:val="0"/>
        </w:rPr>
        <w:t>花都区城市管理和综合执法局在实施方案中提出计划新建和提质改造乡村公厕364座。但截至2019年5月，整体开工率仅为5.22%。经调整建设任务数量为265座后，8月中旬的整体开工率达53.96%。</w:t>
      </w:r>
      <w:r>
        <w:rPr>
          <w:b w:val="0"/>
          <w:bCs w:val="0"/>
        </w:rPr>
        <w:t>一方面反映部分镇（街）统筹</w:t>
      </w:r>
      <w:r>
        <w:rPr>
          <w:rFonts w:hint="eastAsia"/>
          <w:b w:val="0"/>
          <w:bCs w:val="0"/>
        </w:rPr>
        <w:t>推进力度</w:t>
      </w:r>
      <w:r>
        <w:rPr>
          <w:b w:val="0"/>
          <w:bCs w:val="0"/>
        </w:rPr>
        <w:t>不足</w:t>
      </w:r>
      <w:r>
        <w:rPr>
          <w:rFonts w:hint="eastAsia"/>
          <w:b w:val="0"/>
          <w:bCs w:val="0"/>
        </w:rPr>
        <w:t>，未能按实际需求提出建设任务计划。另一方面反映花都区城市管理和综合执法局在各</w:t>
      </w:r>
      <w:r>
        <w:rPr>
          <w:b w:val="0"/>
          <w:bCs w:val="0"/>
        </w:rPr>
        <w:t>镇（街）提出建设需求后</w:t>
      </w:r>
      <w:r>
        <w:rPr>
          <w:rFonts w:hint="eastAsia"/>
          <w:b w:val="0"/>
          <w:bCs w:val="0"/>
        </w:rPr>
        <w:t>，缺少二次调研，未能及时有效跟踪和监督</w:t>
      </w:r>
      <w:r>
        <w:rPr>
          <w:b w:val="0"/>
          <w:bCs w:val="0"/>
        </w:rPr>
        <w:t>各镇（街）乡村公厕</w:t>
      </w:r>
      <w:r>
        <w:rPr>
          <w:rFonts w:hint="eastAsia"/>
          <w:b w:val="0"/>
          <w:bCs w:val="0"/>
        </w:rPr>
        <w:t>前期</w:t>
      </w:r>
      <w:r>
        <w:rPr>
          <w:b w:val="0"/>
          <w:bCs w:val="0"/>
        </w:rPr>
        <w:t>工作的实际进展</w:t>
      </w:r>
      <w:r>
        <w:rPr>
          <w:rFonts w:hint="eastAsia"/>
          <w:b w:val="0"/>
          <w:bCs w:val="0"/>
        </w:rPr>
        <w:t>，一定程度上影响了整体建设效率。</w:t>
      </w:r>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bookmarkStart w:id="37" w:name="_Toc51764278"/>
      <w:r>
        <w:rPr>
          <w:rFonts w:hint="eastAsia"/>
          <w:b w:val="0"/>
          <w:bCs w:val="0"/>
        </w:rPr>
        <w:t>（二）项目实施方案不够完善，部分公厕未按标准建设</w:t>
      </w:r>
      <w:bookmarkEnd w:id="37"/>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r>
        <w:rPr>
          <w:rFonts w:hint="eastAsia"/>
          <w:b w:val="0"/>
          <w:bCs w:val="0"/>
        </w:rPr>
        <w:t>从已通过验收的33座示范性乡村公厕总体建设情况来看，个别公厕男女厕位比例未达到1:2的标准。其次，2019年度完工的265座乡村公厕中，男女厕位比例达2:3以上的厕所仅有12座，且部分公厕男女厕位比例失衡，不符合建设标准。一方面说明花都区城市管理和综合执法局未有效结合市级相关要求，细化制定乡村公厕建设方案；另一方面说明镇（街）未充分研读市、区两级相关政策文件，对厕所建设工程缺乏</w:t>
      </w:r>
      <w:r>
        <w:rPr>
          <w:rFonts w:hint="eastAsia"/>
          <w:b w:val="0"/>
          <w:bCs w:val="0"/>
          <w:highlight w:val="none"/>
        </w:rPr>
        <w:t>有效的管理</w:t>
      </w:r>
      <w:r>
        <w:rPr>
          <w:rFonts w:hint="eastAsia"/>
          <w:b w:val="0"/>
          <w:bCs w:val="0"/>
        </w:rPr>
        <w:t>，导致部分公厕未按标准建设，与应达到的建设效果仍存在一定差距。</w:t>
      </w:r>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bookmarkStart w:id="38" w:name="_Toc51764279"/>
      <w:r>
        <w:rPr>
          <w:rFonts w:hint="eastAsia"/>
          <w:b w:val="0"/>
          <w:bCs w:val="0"/>
        </w:rPr>
        <w:t>（三）预算管理不到位，个别镇（街）资金管理不够规范</w:t>
      </w:r>
      <w:bookmarkEnd w:id="38"/>
    </w:p>
    <w:p>
      <w:pPr>
        <w:keepNext w:val="0"/>
        <w:keepLines w:val="0"/>
        <w:pageBreakBefore w:val="0"/>
        <w:widowControl w:val="0"/>
        <w:kinsoku/>
        <w:wordWrap/>
        <w:overflowPunct/>
        <w:topLinePunct w:val="0"/>
        <w:autoSpaceDE/>
        <w:autoSpaceDN/>
        <w:bidi w:val="0"/>
        <w:adjustRightInd w:val="0"/>
        <w:spacing w:line="570" w:lineRule="exact"/>
        <w:ind w:firstLine="643"/>
        <w:textAlignment w:val="auto"/>
        <w:rPr>
          <w:b w:val="0"/>
          <w:bCs w:val="0"/>
        </w:rPr>
      </w:pPr>
      <w:r>
        <w:rPr>
          <w:b w:val="0"/>
          <w:bCs w:val="0"/>
        </w:rPr>
        <w:t>一是</w:t>
      </w:r>
      <w:r>
        <w:rPr>
          <w:rFonts w:hint="eastAsia"/>
          <w:b w:val="0"/>
          <w:bCs w:val="0"/>
        </w:rPr>
        <w:t>预算编制及分配管理不到位。在人工和材料成本上升的情况下，花都区城市管理和综合执法局未按照最新建设单价和公厕建设数量编制年度预算。个别镇（街）实际获得资金超过经费预算需求，</w:t>
      </w:r>
      <w:r>
        <w:rPr>
          <w:b w:val="0"/>
          <w:bCs w:val="0"/>
        </w:rPr>
        <w:t>未清晰说明具体的资金</w:t>
      </w:r>
      <w:r>
        <w:rPr>
          <w:rFonts w:hint="eastAsia"/>
          <w:b w:val="0"/>
          <w:bCs w:val="0"/>
        </w:rPr>
        <w:t>分配标准。二是个别镇（街）未设立专账核算，难以清晰呈现资金收支情况。同时，花都区城市管理和综合执法局未要求镇（街）定期报送支出明细账，缺乏跟踪管理，仍需进一步落实资金监管责任。</w:t>
      </w:r>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bookmarkStart w:id="39" w:name="_Toc51764280"/>
      <w:bookmarkStart w:id="40" w:name="_Toc19029291"/>
      <w:bookmarkStart w:id="41" w:name="_Toc16507586"/>
      <w:bookmarkStart w:id="42" w:name="_Toc19050216"/>
      <w:r>
        <w:rPr>
          <w:rFonts w:hint="eastAsia"/>
          <w:b w:val="0"/>
          <w:bCs w:val="0"/>
        </w:rPr>
        <w:t>（四）绩效目标设置不够合理，未能全面有效反映项目实施成效</w:t>
      </w:r>
      <w:bookmarkEnd w:id="39"/>
    </w:p>
    <w:p>
      <w:pPr>
        <w:keepNext w:val="0"/>
        <w:keepLines w:val="0"/>
        <w:pageBreakBefore w:val="0"/>
        <w:widowControl w:val="0"/>
        <w:kinsoku/>
        <w:wordWrap/>
        <w:overflowPunct/>
        <w:topLinePunct w:val="0"/>
        <w:autoSpaceDE/>
        <w:autoSpaceDN/>
        <w:bidi w:val="0"/>
        <w:adjustRightInd w:val="0"/>
        <w:spacing w:line="570" w:lineRule="exact"/>
        <w:ind w:firstLine="643"/>
        <w:textAlignment w:val="auto"/>
        <w:rPr>
          <w:b w:val="0"/>
          <w:bCs w:val="0"/>
        </w:rPr>
      </w:pPr>
      <w:r>
        <w:rPr>
          <w:rFonts w:hint="eastAsia"/>
          <w:b w:val="0"/>
          <w:bCs w:val="0"/>
        </w:rPr>
        <w:t>一是项目绩效目标设置不够合理，所设的绩效目标难以全面有效反映乡村公厕建设工作的成效。二是绩效指标不够全面，缺少设置产出数量指标和时效指标，效益指标不够具体、细化，量化不足。</w:t>
      </w:r>
    </w:p>
    <w:p>
      <w:pPr>
        <w:pStyle w:val="2"/>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bookmarkStart w:id="43" w:name="_Toc51764281"/>
      <w:r>
        <w:rPr>
          <w:rFonts w:hint="eastAsia"/>
          <w:b w:val="0"/>
          <w:bCs w:val="0"/>
        </w:rPr>
        <w:t>四</w:t>
      </w:r>
      <w:r>
        <w:rPr>
          <w:b w:val="0"/>
          <w:bCs w:val="0"/>
        </w:rPr>
        <w:t>、相关建议</w:t>
      </w:r>
      <w:bookmarkEnd w:id="40"/>
      <w:bookmarkEnd w:id="41"/>
      <w:bookmarkEnd w:id="42"/>
      <w:bookmarkEnd w:id="43"/>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bookmarkStart w:id="44" w:name="_Toc51764282"/>
      <w:r>
        <w:rPr>
          <w:rFonts w:hint="eastAsia"/>
          <w:b w:val="0"/>
          <w:bCs w:val="0"/>
        </w:rPr>
        <w:t>（一）加大前期工作推进力度，确保整体建设有序开展</w:t>
      </w:r>
      <w:bookmarkEnd w:id="44"/>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r>
        <w:rPr>
          <w:rFonts w:hint="eastAsia"/>
          <w:b w:val="0"/>
          <w:bCs w:val="0"/>
        </w:rPr>
        <w:t>建议各镇（街）组建工作小组开展实地调研，并结合镇（街）的总体发展规划、土地利用规划等要求，进行全面且深入的可行性论证，按照轻重缓急的原则做好前期工作。同时，花都区城市管理和综合执法局和区农业农村局作为项目统筹管理部门，应做好项目建设审批工作，开展二次调研，充分论证乡村公厕建设的必要性和可行性，避免影响整体建设效率。</w:t>
      </w:r>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bookmarkStart w:id="45" w:name="_Toc51764283"/>
      <w:r>
        <w:rPr>
          <w:rFonts w:hint="eastAsia"/>
          <w:b w:val="0"/>
          <w:bCs w:val="0"/>
        </w:rPr>
        <w:t>（二）完善项目实施方案，强化项目实施过程监管</w:t>
      </w:r>
      <w:bookmarkEnd w:id="45"/>
    </w:p>
    <w:p>
      <w:pPr>
        <w:keepNext w:val="0"/>
        <w:keepLines w:val="0"/>
        <w:pageBreakBefore w:val="0"/>
        <w:widowControl w:val="0"/>
        <w:kinsoku/>
        <w:wordWrap/>
        <w:overflowPunct/>
        <w:topLinePunct w:val="0"/>
        <w:autoSpaceDE/>
        <w:autoSpaceDN/>
        <w:bidi w:val="0"/>
        <w:adjustRightInd w:val="0"/>
        <w:spacing w:line="570" w:lineRule="exact"/>
        <w:ind w:firstLine="643"/>
        <w:textAlignment w:val="auto"/>
        <w:rPr>
          <w:b w:val="0"/>
          <w:bCs w:val="0"/>
        </w:rPr>
      </w:pPr>
      <w:r>
        <w:rPr>
          <w:rFonts w:hint="eastAsia"/>
          <w:b w:val="0"/>
          <w:bCs w:val="0"/>
        </w:rPr>
        <w:t>一是建议在制定项目年度实施方案前，应充分结合上级政策文件和以往年度的建设情况，明确年度建设目标、建设要求和建设标准，确保项目实施有效贴合上级文件要求。二是加强与镇（街）相关主管部门沟通，解决建设工作过程中的突出问题。对于不符合建设标准的乡村公厕，应不予通过验收，并要求查明原因，及时采取有效解决措施，确保各乡村公厕的建设质量达到预期标准。</w:t>
      </w:r>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bookmarkStart w:id="46" w:name="_Toc51764284"/>
      <w:r>
        <w:rPr>
          <w:rFonts w:hint="eastAsia"/>
          <w:b w:val="0"/>
          <w:bCs w:val="0"/>
        </w:rPr>
        <w:t>（三）强化预算编制及分配管理，敦促镇（街）规范管理资金</w:t>
      </w:r>
      <w:bookmarkEnd w:id="46"/>
    </w:p>
    <w:p>
      <w:pPr>
        <w:keepNext w:val="0"/>
        <w:keepLines w:val="0"/>
        <w:pageBreakBefore w:val="0"/>
        <w:widowControl w:val="0"/>
        <w:kinsoku/>
        <w:wordWrap/>
        <w:overflowPunct/>
        <w:topLinePunct w:val="0"/>
        <w:autoSpaceDE/>
        <w:autoSpaceDN/>
        <w:bidi w:val="0"/>
        <w:adjustRightInd w:val="0"/>
        <w:spacing w:line="570" w:lineRule="exact"/>
        <w:ind w:firstLine="643"/>
        <w:textAlignment w:val="auto"/>
        <w:rPr>
          <w:b w:val="0"/>
          <w:bCs w:val="0"/>
        </w:rPr>
      </w:pPr>
      <w:r>
        <w:rPr>
          <w:rFonts w:hint="eastAsia"/>
          <w:b w:val="0"/>
          <w:bCs w:val="0"/>
        </w:rPr>
        <w:t>一是建议按照最新建设单价和公厕建设数量重新编制年度资金预算，确保预算编制准确。同时，进一步明确资金分配标准，对超预算分配的情况应说明相关原因，确保资金分配依据清晰。二是建议定期指导和督查镇（街）的资金管理工作，确保资金按规定要求使用和管理。针对资金支出进度慢的镇（街），落实资金监管责任，及时查明原因，并采取相关调整措施，提升资金使用效率。</w:t>
      </w:r>
    </w:p>
    <w:p>
      <w:pPr>
        <w:pStyle w:val="3"/>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bookmarkStart w:id="47" w:name="_Toc51764285"/>
      <w:r>
        <w:rPr>
          <w:rFonts w:hint="eastAsia"/>
          <w:b w:val="0"/>
          <w:bCs w:val="0"/>
        </w:rPr>
        <w:t>（四）合理设置绩效目标，全面有效反映“厕所革命”工作实施成效</w:t>
      </w:r>
      <w:bookmarkEnd w:id="47"/>
    </w:p>
    <w:p>
      <w:pPr>
        <w:keepNext w:val="0"/>
        <w:keepLines w:val="0"/>
        <w:pageBreakBefore w:val="0"/>
        <w:widowControl w:val="0"/>
        <w:kinsoku/>
        <w:wordWrap/>
        <w:overflowPunct/>
        <w:topLinePunct w:val="0"/>
        <w:autoSpaceDE/>
        <w:autoSpaceDN/>
        <w:bidi w:val="0"/>
        <w:adjustRightInd w:val="0"/>
        <w:spacing w:line="570" w:lineRule="exact"/>
        <w:ind w:firstLine="640"/>
        <w:textAlignment w:val="auto"/>
        <w:rPr>
          <w:b w:val="0"/>
          <w:bCs w:val="0"/>
        </w:rPr>
      </w:pPr>
      <w:r>
        <w:rPr>
          <w:rFonts w:hint="eastAsia"/>
          <w:b w:val="0"/>
          <w:bCs w:val="0"/>
        </w:rPr>
        <w:t>建议花都区城市管理和综合执法局可结合</w:t>
      </w:r>
      <w:r>
        <w:rPr>
          <w:rFonts w:hint="eastAsia"/>
          <w:b w:val="0"/>
          <w:bCs w:val="0"/>
          <w:highlight w:val="none"/>
        </w:rPr>
        <w:t>《</w:t>
      </w:r>
      <w:r>
        <w:rPr>
          <w:rFonts w:hint="eastAsia"/>
          <w:b w:val="0"/>
          <w:bCs w:val="0"/>
        </w:rPr>
        <w:t>花都区“厕所革命”三年行动计划（2018</w:t>
      </w:r>
      <w:r>
        <w:rPr>
          <w:rFonts w:hint="eastAsia"/>
          <w:b w:val="0"/>
          <w:bCs w:val="0"/>
          <w:highlight w:val="none"/>
        </w:rPr>
        <w:t>-2020年</w:t>
      </w:r>
      <w:r>
        <w:rPr>
          <w:rFonts w:hint="eastAsia"/>
          <w:b w:val="0"/>
          <w:bCs w:val="0"/>
        </w:rPr>
        <w:t>）</w:t>
      </w:r>
      <w:r>
        <w:rPr>
          <w:rFonts w:hint="eastAsia"/>
          <w:b w:val="0"/>
          <w:bCs w:val="0"/>
          <w:highlight w:val="none"/>
        </w:rPr>
        <w:t>》《</w:t>
      </w:r>
      <w:r>
        <w:rPr>
          <w:rFonts w:hint="eastAsia"/>
          <w:b w:val="0"/>
          <w:bCs w:val="0"/>
        </w:rPr>
        <w:t>2019年花都区“厕所革命”实施方案</w:t>
      </w:r>
      <w:r>
        <w:rPr>
          <w:rFonts w:hint="eastAsia"/>
          <w:b w:val="0"/>
          <w:bCs w:val="0"/>
          <w:highlight w:val="none"/>
        </w:rPr>
        <w:t>》</w:t>
      </w:r>
      <w:r>
        <w:rPr>
          <w:rFonts w:hint="eastAsia"/>
          <w:b w:val="0"/>
          <w:bCs w:val="0"/>
        </w:rPr>
        <w:t>等文件设定绩效目标。如建设目标在年中有调整，应按照绩效运行监控工作要求，申请调整绩效目标。其次，细化设置清晰、可衡量的绩效指标，增设数量指标、时效指标，修正质量指标内容，细化设置效益指标，用以全面反映绩效目标实现情况。</w:t>
      </w:r>
    </w:p>
    <w:sectPr>
      <w:headerReference r:id="rId5" w:type="default"/>
      <w:footerReference r:id="rId6" w:type="default"/>
      <w:pgSz w:w="11906" w:h="16838"/>
      <w:pgMar w:top="2098" w:right="1531" w:bottom="1985" w:left="1588" w:header="851" w:footer="992" w:gutter="0"/>
      <w:cols w:space="720" w:num="1"/>
      <w:docGrid w:type="lines" w:linePitch="435"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4">
      <wne:acd wne:acdName="acd3"/>
    </wne:keymap>
    <wne:keymap wne:kcmPrimary="045A">
      <wne:acd wne:acdName="acd4"/>
    </wne:keymap>
  </wne:keymap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AA" wne:acdName="acd4"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68762841"/>
      <w:docPartObj>
        <w:docPartGallery w:val="autotext"/>
      </w:docPartObj>
    </w:sdtPr>
    <w:sdtEndPr>
      <w:rPr>
        <w:rFonts w:ascii="Times New Roman" w:hAnsi="Times New Roman" w:cs="Times New Roman"/>
        <w:sz w:val="24"/>
        <w:szCs w:val="24"/>
      </w:rPr>
    </w:sdtEndPr>
    <w:sdtContent>
      <w:p>
        <w:pPr>
          <w:pStyle w:val="11"/>
          <w:ind w:firstLine="0" w:firstLineChars="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2</w:t>
        </w:r>
        <w:r>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revisionView w:markup="0"/>
  <w:documentProtection w:enforcement="0"/>
  <w:defaultTabStop w:val="420"/>
  <w:drawingGridHorizontalSpacing w:val="160"/>
  <w:drawingGridVerticalSpacing w:val="435"/>
  <w:displayHorizont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397"/>
    <w:rsid w:val="00000B57"/>
    <w:rsid w:val="000011E2"/>
    <w:rsid w:val="00003ACE"/>
    <w:rsid w:val="00003C7E"/>
    <w:rsid w:val="0000465B"/>
    <w:rsid w:val="00007100"/>
    <w:rsid w:val="00012076"/>
    <w:rsid w:val="000148E3"/>
    <w:rsid w:val="00020771"/>
    <w:rsid w:val="000207AC"/>
    <w:rsid w:val="00022803"/>
    <w:rsid w:val="00024BBA"/>
    <w:rsid w:val="000252A1"/>
    <w:rsid w:val="000305A5"/>
    <w:rsid w:val="00030C40"/>
    <w:rsid w:val="00031C2F"/>
    <w:rsid w:val="00032B8C"/>
    <w:rsid w:val="0003532F"/>
    <w:rsid w:val="00036296"/>
    <w:rsid w:val="00037176"/>
    <w:rsid w:val="0003754C"/>
    <w:rsid w:val="000406B2"/>
    <w:rsid w:val="00041237"/>
    <w:rsid w:val="00041C61"/>
    <w:rsid w:val="0004301A"/>
    <w:rsid w:val="000432D9"/>
    <w:rsid w:val="00043579"/>
    <w:rsid w:val="000440A3"/>
    <w:rsid w:val="00045FD2"/>
    <w:rsid w:val="00052B26"/>
    <w:rsid w:val="000544B9"/>
    <w:rsid w:val="00054A57"/>
    <w:rsid w:val="00054EDB"/>
    <w:rsid w:val="000552EC"/>
    <w:rsid w:val="000572AF"/>
    <w:rsid w:val="00060413"/>
    <w:rsid w:val="000607CF"/>
    <w:rsid w:val="00062D1F"/>
    <w:rsid w:val="00062E77"/>
    <w:rsid w:val="00063F71"/>
    <w:rsid w:val="00066E7E"/>
    <w:rsid w:val="000709FE"/>
    <w:rsid w:val="000711F2"/>
    <w:rsid w:val="000717FA"/>
    <w:rsid w:val="00072A98"/>
    <w:rsid w:val="000751B0"/>
    <w:rsid w:val="00075381"/>
    <w:rsid w:val="000758A9"/>
    <w:rsid w:val="000764C0"/>
    <w:rsid w:val="00082864"/>
    <w:rsid w:val="00082B32"/>
    <w:rsid w:val="00083961"/>
    <w:rsid w:val="00084254"/>
    <w:rsid w:val="0008631B"/>
    <w:rsid w:val="00086789"/>
    <w:rsid w:val="0009034B"/>
    <w:rsid w:val="0009192C"/>
    <w:rsid w:val="00096C9A"/>
    <w:rsid w:val="000976F1"/>
    <w:rsid w:val="000A2118"/>
    <w:rsid w:val="000A2A20"/>
    <w:rsid w:val="000A354A"/>
    <w:rsid w:val="000A5A9D"/>
    <w:rsid w:val="000B0CAA"/>
    <w:rsid w:val="000B48B0"/>
    <w:rsid w:val="000B4B2B"/>
    <w:rsid w:val="000C07B5"/>
    <w:rsid w:val="000C2DAF"/>
    <w:rsid w:val="000C3A0F"/>
    <w:rsid w:val="000C6EB1"/>
    <w:rsid w:val="000D23BE"/>
    <w:rsid w:val="000E0CFF"/>
    <w:rsid w:val="000E1E34"/>
    <w:rsid w:val="000E2BD1"/>
    <w:rsid w:val="000E7309"/>
    <w:rsid w:val="000E7877"/>
    <w:rsid w:val="000F063E"/>
    <w:rsid w:val="000F1414"/>
    <w:rsid w:val="000F2341"/>
    <w:rsid w:val="000F2DD8"/>
    <w:rsid w:val="000F33B9"/>
    <w:rsid w:val="000F469F"/>
    <w:rsid w:val="00106046"/>
    <w:rsid w:val="001062DB"/>
    <w:rsid w:val="00107ADF"/>
    <w:rsid w:val="0011299C"/>
    <w:rsid w:val="00114B5D"/>
    <w:rsid w:val="00115A2B"/>
    <w:rsid w:val="001202F9"/>
    <w:rsid w:val="0012334C"/>
    <w:rsid w:val="00127054"/>
    <w:rsid w:val="0012782F"/>
    <w:rsid w:val="0013076C"/>
    <w:rsid w:val="00134A90"/>
    <w:rsid w:val="00135F82"/>
    <w:rsid w:val="0013619B"/>
    <w:rsid w:val="0013708D"/>
    <w:rsid w:val="001370C1"/>
    <w:rsid w:val="001437A3"/>
    <w:rsid w:val="00143E4C"/>
    <w:rsid w:val="001447AF"/>
    <w:rsid w:val="00144895"/>
    <w:rsid w:val="00144B26"/>
    <w:rsid w:val="00146633"/>
    <w:rsid w:val="001476B1"/>
    <w:rsid w:val="00150259"/>
    <w:rsid w:val="00150F48"/>
    <w:rsid w:val="00153255"/>
    <w:rsid w:val="00153FF2"/>
    <w:rsid w:val="00156671"/>
    <w:rsid w:val="0016075C"/>
    <w:rsid w:val="00161EF9"/>
    <w:rsid w:val="00163973"/>
    <w:rsid w:val="001648DC"/>
    <w:rsid w:val="001657D7"/>
    <w:rsid w:val="00166533"/>
    <w:rsid w:val="00167E2B"/>
    <w:rsid w:val="00172024"/>
    <w:rsid w:val="001829E1"/>
    <w:rsid w:val="00182ACC"/>
    <w:rsid w:val="00184F28"/>
    <w:rsid w:val="00187D6A"/>
    <w:rsid w:val="00196AD8"/>
    <w:rsid w:val="0019748F"/>
    <w:rsid w:val="00197B37"/>
    <w:rsid w:val="001A3EDE"/>
    <w:rsid w:val="001A446A"/>
    <w:rsid w:val="001B1618"/>
    <w:rsid w:val="001B1958"/>
    <w:rsid w:val="001B1D4E"/>
    <w:rsid w:val="001B3C8A"/>
    <w:rsid w:val="001B439C"/>
    <w:rsid w:val="001B48F9"/>
    <w:rsid w:val="001B5566"/>
    <w:rsid w:val="001B6646"/>
    <w:rsid w:val="001C060D"/>
    <w:rsid w:val="001C3E94"/>
    <w:rsid w:val="001C4EDC"/>
    <w:rsid w:val="001D1D49"/>
    <w:rsid w:val="001D3637"/>
    <w:rsid w:val="001D519F"/>
    <w:rsid w:val="001D6F80"/>
    <w:rsid w:val="001D7AB2"/>
    <w:rsid w:val="001E02C1"/>
    <w:rsid w:val="001E0643"/>
    <w:rsid w:val="001E2C45"/>
    <w:rsid w:val="001E7599"/>
    <w:rsid w:val="001F302D"/>
    <w:rsid w:val="00201184"/>
    <w:rsid w:val="00205CD1"/>
    <w:rsid w:val="00205F53"/>
    <w:rsid w:val="002070F0"/>
    <w:rsid w:val="0020745E"/>
    <w:rsid w:val="0021052C"/>
    <w:rsid w:val="0021091C"/>
    <w:rsid w:val="00212F01"/>
    <w:rsid w:val="00215645"/>
    <w:rsid w:val="00216C39"/>
    <w:rsid w:val="00220ABF"/>
    <w:rsid w:val="002217FB"/>
    <w:rsid w:val="0022228D"/>
    <w:rsid w:val="00222D6E"/>
    <w:rsid w:val="002234CC"/>
    <w:rsid w:val="00223CFB"/>
    <w:rsid w:val="00227B10"/>
    <w:rsid w:val="002302E7"/>
    <w:rsid w:val="00231501"/>
    <w:rsid w:val="002318E4"/>
    <w:rsid w:val="002319C1"/>
    <w:rsid w:val="0023482D"/>
    <w:rsid w:val="00234ABF"/>
    <w:rsid w:val="00237882"/>
    <w:rsid w:val="00242FDB"/>
    <w:rsid w:val="00243731"/>
    <w:rsid w:val="00246B57"/>
    <w:rsid w:val="0024721C"/>
    <w:rsid w:val="0025098D"/>
    <w:rsid w:val="00252A2E"/>
    <w:rsid w:val="002551F7"/>
    <w:rsid w:val="00256081"/>
    <w:rsid w:val="00257D65"/>
    <w:rsid w:val="00265C4C"/>
    <w:rsid w:val="0026604B"/>
    <w:rsid w:val="002661A8"/>
    <w:rsid w:val="0027037C"/>
    <w:rsid w:val="00272AD4"/>
    <w:rsid w:val="00274B94"/>
    <w:rsid w:val="002765FF"/>
    <w:rsid w:val="00277A84"/>
    <w:rsid w:val="00283535"/>
    <w:rsid w:val="00283DFE"/>
    <w:rsid w:val="00285338"/>
    <w:rsid w:val="00285724"/>
    <w:rsid w:val="00285C54"/>
    <w:rsid w:val="002879EE"/>
    <w:rsid w:val="00287AFA"/>
    <w:rsid w:val="00292A82"/>
    <w:rsid w:val="00292F16"/>
    <w:rsid w:val="002931EF"/>
    <w:rsid w:val="0029475F"/>
    <w:rsid w:val="002966DD"/>
    <w:rsid w:val="0029750C"/>
    <w:rsid w:val="0029761A"/>
    <w:rsid w:val="002A3F2E"/>
    <w:rsid w:val="002A599B"/>
    <w:rsid w:val="002A5D34"/>
    <w:rsid w:val="002B09DD"/>
    <w:rsid w:val="002B1918"/>
    <w:rsid w:val="002B4D21"/>
    <w:rsid w:val="002B4EF6"/>
    <w:rsid w:val="002B746A"/>
    <w:rsid w:val="002B76D9"/>
    <w:rsid w:val="002C03BF"/>
    <w:rsid w:val="002C04EF"/>
    <w:rsid w:val="002C144A"/>
    <w:rsid w:val="002C3CB1"/>
    <w:rsid w:val="002C4D4C"/>
    <w:rsid w:val="002C57F6"/>
    <w:rsid w:val="002C6AF6"/>
    <w:rsid w:val="002C6BF5"/>
    <w:rsid w:val="002D0DBD"/>
    <w:rsid w:val="002D1CF1"/>
    <w:rsid w:val="002D2457"/>
    <w:rsid w:val="002D3871"/>
    <w:rsid w:val="002D6402"/>
    <w:rsid w:val="002D6A69"/>
    <w:rsid w:val="002D6BAC"/>
    <w:rsid w:val="002D76CB"/>
    <w:rsid w:val="002E0538"/>
    <w:rsid w:val="002E2181"/>
    <w:rsid w:val="002F094F"/>
    <w:rsid w:val="002F0C94"/>
    <w:rsid w:val="002F2798"/>
    <w:rsid w:val="002F27AC"/>
    <w:rsid w:val="002F7B3A"/>
    <w:rsid w:val="00302080"/>
    <w:rsid w:val="00304EBC"/>
    <w:rsid w:val="003066FE"/>
    <w:rsid w:val="00307F9C"/>
    <w:rsid w:val="00310DB1"/>
    <w:rsid w:val="00311451"/>
    <w:rsid w:val="00312057"/>
    <w:rsid w:val="003120B1"/>
    <w:rsid w:val="00314C0A"/>
    <w:rsid w:val="00317458"/>
    <w:rsid w:val="00317541"/>
    <w:rsid w:val="00321A7C"/>
    <w:rsid w:val="003244B8"/>
    <w:rsid w:val="003343B0"/>
    <w:rsid w:val="00335911"/>
    <w:rsid w:val="00335B50"/>
    <w:rsid w:val="00335E5C"/>
    <w:rsid w:val="00336196"/>
    <w:rsid w:val="00336464"/>
    <w:rsid w:val="00341FF6"/>
    <w:rsid w:val="003433DD"/>
    <w:rsid w:val="0034353A"/>
    <w:rsid w:val="00343557"/>
    <w:rsid w:val="00345875"/>
    <w:rsid w:val="00345A8A"/>
    <w:rsid w:val="00346524"/>
    <w:rsid w:val="00351709"/>
    <w:rsid w:val="00351726"/>
    <w:rsid w:val="00351A48"/>
    <w:rsid w:val="00352F39"/>
    <w:rsid w:val="00354C0F"/>
    <w:rsid w:val="00355AE8"/>
    <w:rsid w:val="00360FC0"/>
    <w:rsid w:val="00361C37"/>
    <w:rsid w:val="00363C7C"/>
    <w:rsid w:val="003667AA"/>
    <w:rsid w:val="0036784D"/>
    <w:rsid w:val="00370B68"/>
    <w:rsid w:val="00371B88"/>
    <w:rsid w:val="003735DA"/>
    <w:rsid w:val="00375260"/>
    <w:rsid w:val="0037553D"/>
    <w:rsid w:val="00376359"/>
    <w:rsid w:val="003763E1"/>
    <w:rsid w:val="00376C97"/>
    <w:rsid w:val="00376CA4"/>
    <w:rsid w:val="003778EA"/>
    <w:rsid w:val="00382581"/>
    <w:rsid w:val="003844F6"/>
    <w:rsid w:val="00384ACF"/>
    <w:rsid w:val="00385D8E"/>
    <w:rsid w:val="0038648E"/>
    <w:rsid w:val="003926C3"/>
    <w:rsid w:val="00393D6E"/>
    <w:rsid w:val="00394E4D"/>
    <w:rsid w:val="003A01D0"/>
    <w:rsid w:val="003A0C40"/>
    <w:rsid w:val="003A4974"/>
    <w:rsid w:val="003A5F58"/>
    <w:rsid w:val="003A7598"/>
    <w:rsid w:val="003B0008"/>
    <w:rsid w:val="003B14BF"/>
    <w:rsid w:val="003B22BA"/>
    <w:rsid w:val="003B50B3"/>
    <w:rsid w:val="003B77D0"/>
    <w:rsid w:val="003C03A2"/>
    <w:rsid w:val="003C0E7C"/>
    <w:rsid w:val="003C410D"/>
    <w:rsid w:val="003C45C5"/>
    <w:rsid w:val="003C4DB2"/>
    <w:rsid w:val="003C79E3"/>
    <w:rsid w:val="003D0656"/>
    <w:rsid w:val="003D099F"/>
    <w:rsid w:val="003D1744"/>
    <w:rsid w:val="003D18CE"/>
    <w:rsid w:val="003D21D6"/>
    <w:rsid w:val="003D25D0"/>
    <w:rsid w:val="003D325D"/>
    <w:rsid w:val="003E2A6B"/>
    <w:rsid w:val="003E345B"/>
    <w:rsid w:val="003F1B3D"/>
    <w:rsid w:val="003F1D31"/>
    <w:rsid w:val="003F1E04"/>
    <w:rsid w:val="003F399B"/>
    <w:rsid w:val="00400B9E"/>
    <w:rsid w:val="004027FA"/>
    <w:rsid w:val="004028B1"/>
    <w:rsid w:val="00402D9F"/>
    <w:rsid w:val="004033C6"/>
    <w:rsid w:val="00403426"/>
    <w:rsid w:val="00403DFA"/>
    <w:rsid w:val="004066BB"/>
    <w:rsid w:val="004100D2"/>
    <w:rsid w:val="00414558"/>
    <w:rsid w:val="00417362"/>
    <w:rsid w:val="0042011C"/>
    <w:rsid w:val="00421643"/>
    <w:rsid w:val="00422551"/>
    <w:rsid w:val="004229F7"/>
    <w:rsid w:val="00425902"/>
    <w:rsid w:val="004268DA"/>
    <w:rsid w:val="00427ABC"/>
    <w:rsid w:val="00430851"/>
    <w:rsid w:val="004308BB"/>
    <w:rsid w:val="00431354"/>
    <w:rsid w:val="00431B60"/>
    <w:rsid w:val="00431C6F"/>
    <w:rsid w:val="004326C1"/>
    <w:rsid w:val="0043279D"/>
    <w:rsid w:val="00434CFC"/>
    <w:rsid w:val="0043740B"/>
    <w:rsid w:val="004378BC"/>
    <w:rsid w:val="00445207"/>
    <w:rsid w:val="00447746"/>
    <w:rsid w:val="004514D6"/>
    <w:rsid w:val="004558E8"/>
    <w:rsid w:val="004626AB"/>
    <w:rsid w:val="004660C3"/>
    <w:rsid w:val="00476764"/>
    <w:rsid w:val="00476CDA"/>
    <w:rsid w:val="00476CEC"/>
    <w:rsid w:val="004770D2"/>
    <w:rsid w:val="00480208"/>
    <w:rsid w:val="00480B8E"/>
    <w:rsid w:val="00480B8F"/>
    <w:rsid w:val="00480FB7"/>
    <w:rsid w:val="004816CB"/>
    <w:rsid w:val="00483A6F"/>
    <w:rsid w:val="00484A9E"/>
    <w:rsid w:val="0049166A"/>
    <w:rsid w:val="00491FF4"/>
    <w:rsid w:val="0049682E"/>
    <w:rsid w:val="00497475"/>
    <w:rsid w:val="00497635"/>
    <w:rsid w:val="004A4589"/>
    <w:rsid w:val="004B1F15"/>
    <w:rsid w:val="004B3983"/>
    <w:rsid w:val="004B562C"/>
    <w:rsid w:val="004B5FC5"/>
    <w:rsid w:val="004B6BFD"/>
    <w:rsid w:val="004B78B8"/>
    <w:rsid w:val="004B7D9F"/>
    <w:rsid w:val="004C4134"/>
    <w:rsid w:val="004C5C6F"/>
    <w:rsid w:val="004C5CB2"/>
    <w:rsid w:val="004D02DC"/>
    <w:rsid w:val="004D0890"/>
    <w:rsid w:val="004D338C"/>
    <w:rsid w:val="004D7F4B"/>
    <w:rsid w:val="004E07E6"/>
    <w:rsid w:val="004E606F"/>
    <w:rsid w:val="004E744A"/>
    <w:rsid w:val="004E77BB"/>
    <w:rsid w:val="004E7BFA"/>
    <w:rsid w:val="004F66A7"/>
    <w:rsid w:val="004F67F0"/>
    <w:rsid w:val="005005E1"/>
    <w:rsid w:val="00501117"/>
    <w:rsid w:val="005017E3"/>
    <w:rsid w:val="00501847"/>
    <w:rsid w:val="00503E21"/>
    <w:rsid w:val="005067D5"/>
    <w:rsid w:val="00507E23"/>
    <w:rsid w:val="00510598"/>
    <w:rsid w:val="00510C2D"/>
    <w:rsid w:val="0051789C"/>
    <w:rsid w:val="005243D2"/>
    <w:rsid w:val="005245E0"/>
    <w:rsid w:val="00531292"/>
    <w:rsid w:val="005313BC"/>
    <w:rsid w:val="00532AE2"/>
    <w:rsid w:val="00532BCE"/>
    <w:rsid w:val="00533A19"/>
    <w:rsid w:val="0053562A"/>
    <w:rsid w:val="00537F6C"/>
    <w:rsid w:val="00540AB9"/>
    <w:rsid w:val="005432C7"/>
    <w:rsid w:val="0054356E"/>
    <w:rsid w:val="00543CE8"/>
    <w:rsid w:val="0054407B"/>
    <w:rsid w:val="00545672"/>
    <w:rsid w:val="00546838"/>
    <w:rsid w:val="00547251"/>
    <w:rsid w:val="00551CE1"/>
    <w:rsid w:val="005525C8"/>
    <w:rsid w:val="0055375F"/>
    <w:rsid w:val="005616D9"/>
    <w:rsid w:val="005619CC"/>
    <w:rsid w:val="00563844"/>
    <w:rsid w:val="00564F33"/>
    <w:rsid w:val="00565624"/>
    <w:rsid w:val="005677CB"/>
    <w:rsid w:val="0056781A"/>
    <w:rsid w:val="005711BF"/>
    <w:rsid w:val="00571E86"/>
    <w:rsid w:val="005776CA"/>
    <w:rsid w:val="00580E6B"/>
    <w:rsid w:val="00581C4F"/>
    <w:rsid w:val="005833AD"/>
    <w:rsid w:val="00587B92"/>
    <w:rsid w:val="005900EA"/>
    <w:rsid w:val="005914A7"/>
    <w:rsid w:val="00593360"/>
    <w:rsid w:val="00593644"/>
    <w:rsid w:val="00593684"/>
    <w:rsid w:val="0059663A"/>
    <w:rsid w:val="00596D83"/>
    <w:rsid w:val="0059789A"/>
    <w:rsid w:val="00597A29"/>
    <w:rsid w:val="005A0EFC"/>
    <w:rsid w:val="005A19F8"/>
    <w:rsid w:val="005A33B1"/>
    <w:rsid w:val="005A7371"/>
    <w:rsid w:val="005A759D"/>
    <w:rsid w:val="005A7C9B"/>
    <w:rsid w:val="005B04F6"/>
    <w:rsid w:val="005B1B5F"/>
    <w:rsid w:val="005B2A62"/>
    <w:rsid w:val="005B3154"/>
    <w:rsid w:val="005B4C18"/>
    <w:rsid w:val="005C20A2"/>
    <w:rsid w:val="005C3855"/>
    <w:rsid w:val="005C3E72"/>
    <w:rsid w:val="005C4807"/>
    <w:rsid w:val="005C67FA"/>
    <w:rsid w:val="005C7378"/>
    <w:rsid w:val="005C744A"/>
    <w:rsid w:val="005D056D"/>
    <w:rsid w:val="005D0B6D"/>
    <w:rsid w:val="005D0B87"/>
    <w:rsid w:val="005D21F6"/>
    <w:rsid w:val="005D2CFE"/>
    <w:rsid w:val="005D387F"/>
    <w:rsid w:val="005D66D8"/>
    <w:rsid w:val="005D6E98"/>
    <w:rsid w:val="005D7CB8"/>
    <w:rsid w:val="005E355B"/>
    <w:rsid w:val="005E3B83"/>
    <w:rsid w:val="005E43EA"/>
    <w:rsid w:val="005E546D"/>
    <w:rsid w:val="005E557B"/>
    <w:rsid w:val="005E62BC"/>
    <w:rsid w:val="005E7B83"/>
    <w:rsid w:val="005F2DD5"/>
    <w:rsid w:val="005F33AC"/>
    <w:rsid w:val="005F3E8B"/>
    <w:rsid w:val="005F5DCE"/>
    <w:rsid w:val="005F7FB5"/>
    <w:rsid w:val="00600B3D"/>
    <w:rsid w:val="00600CCD"/>
    <w:rsid w:val="00603071"/>
    <w:rsid w:val="0060334D"/>
    <w:rsid w:val="006050CB"/>
    <w:rsid w:val="006071F1"/>
    <w:rsid w:val="00607FFD"/>
    <w:rsid w:val="0061018A"/>
    <w:rsid w:val="00610FC4"/>
    <w:rsid w:val="006129F3"/>
    <w:rsid w:val="00612D67"/>
    <w:rsid w:val="00613104"/>
    <w:rsid w:val="006143BE"/>
    <w:rsid w:val="006175ED"/>
    <w:rsid w:val="00622B92"/>
    <w:rsid w:val="00623BD4"/>
    <w:rsid w:val="00625BB1"/>
    <w:rsid w:val="006268CD"/>
    <w:rsid w:val="00630395"/>
    <w:rsid w:val="006318C4"/>
    <w:rsid w:val="00632532"/>
    <w:rsid w:val="00633289"/>
    <w:rsid w:val="00635611"/>
    <w:rsid w:val="006420BF"/>
    <w:rsid w:val="00642820"/>
    <w:rsid w:val="006428BC"/>
    <w:rsid w:val="0064368B"/>
    <w:rsid w:val="00643726"/>
    <w:rsid w:val="006452F3"/>
    <w:rsid w:val="00647152"/>
    <w:rsid w:val="0064764E"/>
    <w:rsid w:val="00650C0B"/>
    <w:rsid w:val="00650DA6"/>
    <w:rsid w:val="006511BE"/>
    <w:rsid w:val="00651E8C"/>
    <w:rsid w:val="006521B4"/>
    <w:rsid w:val="00653EC8"/>
    <w:rsid w:val="00654FD9"/>
    <w:rsid w:val="00660681"/>
    <w:rsid w:val="00662EA9"/>
    <w:rsid w:val="0066325E"/>
    <w:rsid w:val="00665558"/>
    <w:rsid w:val="00665B4B"/>
    <w:rsid w:val="00666056"/>
    <w:rsid w:val="006663CC"/>
    <w:rsid w:val="00666F7F"/>
    <w:rsid w:val="00671AF7"/>
    <w:rsid w:val="006748F9"/>
    <w:rsid w:val="00675AB7"/>
    <w:rsid w:val="00676034"/>
    <w:rsid w:val="00680474"/>
    <w:rsid w:val="00681221"/>
    <w:rsid w:val="00682867"/>
    <w:rsid w:val="00684BF7"/>
    <w:rsid w:val="00686F66"/>
    <w:rsid w:val="00690F72"/>
    <w:rsid w:val="00690F7D"/>
    <w:rsid w:val="00693E04"/>
    <w:rsid w:val="006A7666"/>
    <w:rsid w:val="006B172D"/>
    <w:rsid w:val="006B51E9"/>
    <w:rsid w:val="006C3AE6"/>
    <w:rsid w:val="006C6C42"/>
    <w:rsid w:val="006D4867"/>
    <w:rsid w:val="006D4CAC"/>
    <w:rsid w:val="006E0FC8"/>
    <w:rsid w:val="006E5B0E"/>
    <w:rsid w:val="006F0970"/>
    <w:rsid w:val="006F4778"/>
    <w:rsid w:val="006F60C2"/>
    <w:rsid w:val="006F637E"/>
    <w:rsid w:val="006F6D82"/>
    <w:rsid w:val="00700E82"/>
    <w:rsid w:val="00703DB4"/>
    <w:rsid w:val="00706724"/>
    <w:rsid w:val="00706F0A"/>
    <w:rsid w:val="00707C46"/>
    <w:rsid w:val="0071039B"/>
    <w:rsid w:val="0071241A"/>
    <w:rsid w:val="007135BB"/>
    <w:rsid w:val="00713C7E"/>
    <w:rsid w:val="00714173"/>
    <w:rsid w:val="0071587C"/>
    <w:rsid w:val="00715F0F"/>
    <w:rsid w:val="007161EF"/>
    <w:rsid w:val="007172C0"/>
    <w:rsid w:val="00717489"/>
    <w:rsid w:val="0072027A"/>
    <w:rsid w:val="00720D30"/>
    <w:rsid w:val="00721F09"/>
    <w:rsid w:val="00722462"/>
    <w:rsid w:val="00724764"/>
    <w:rsid w:val="00725EAB"/>
    <w:rsid w:val="0072625A"/>
    <w:rsid w:val="00730721"/>
    <w:rsid w:val="007310F3"/>
    <w:rsid w:val="007337A3"/>
    <w:rsid w:val="007359E0"/>
    <w:rsid w:val="00742ABA"/>
    <w:rsid w:val="00742C3D"/>
    <w:rsid w:val="007437AD"/>
    <w:rsid w:val="0074537C"/>
    <w:rsid w:val="0075138D"/>
    <w:rsid w:val="00753D8E"/>
    <w:rsid w:val="00754A00"/>
    <w:rsid w:val="007571AC"/>
    <w:rsid w:val="007615CA"/>
    <w:rsid w:val="00761FCE"/>
    <w:rsid w:val="0076289B"/>
    <w:rsid w:val="00763DE5"/>
    <w:rsid w:val="00764F44"/>
    <w:rsid w:val="007653DA"/>
    <w:rsid w:val="007710DE"/>
    <w:rsid w:val="00774D3C"/>
    <w:rsid w:val="00784ECF"/>
    <w:rsid w:val="00785BCD"/>
    <w:rsid w:val="00790556"/>
    <w:rsid w:val="00791413"/>
    <w:rsid w:val="007914EF"/>
    <w:rsid w:val="007915C0"/>
    <w:rsid w:val="0079339F"/>
    <w:rsid w:val="00794831"/>
    <w:rsid w:val="007A0744"/>
    <w:rsid w:val="007A278D"/>
    <w:rsid w:val="007A43E3"/>
    <w:rsid w:val="007A4ED4"/>
    <w:rsid w:val="007A663A"/>
    <w:rsid w:val="007A74C8"/>
    <w:rsid w:val="007A7DAD"/>
    <w:rsid w:val="007B01FC"/>
    <w:rsid w:val="007B04D8"/>
    <w:rsid w:val="007B193C"/>
    <w:rsid w:val="007B1C2A"/>
    <w:rsid w:val="007B3780"/>
    <w:rsid w:val="007B46EC"/>
    <w:rsid w:val="007B7958"/>
    <w:rsid w:val="007C08C8"/>
    <w:rsid w:val="007C112F"/>
    <w:rsid w:val="007C58F6"/>
    <w:rsid w:val="007C6AE6"/>
    <w:rsid w:val="007D00AF"/>
    <w:rsid w:val="007D1C1A"/>
    <w:rsid w:val="007D3116"/>
    <w:rsid w:val="007D32C0"/>
    <w:rsid w:val="007D431D"/>
    <w:rsid w:val="007D7BAA"/>
    <w:rsid w:val="007E175C"/>
    <w:rsid w:val="007E39D1"/>
    <w:rsid w:val="007E44A3"/>
    <w:rsid w:val="007E4DA4"/>
    <w:rsid w:val="007E52DA"/>
    <w:rsid w:val="007E5A03"/>
    <w:rsid w:val="007E5C3E"/>
    <w:rsid w:val="007E5E50"/>
    <w:rsid w:val="007E609C"/>
    <w:rsid w:val="007E65CB"/>
    <w:rsid w:val="007E73A6"/>
    <w:rsid w:val="007E779D"/>
    <w:rsid w:val="007F0C55"/>
    <w:rsid w:val="007F538D"/>
    <w:rsid w:val="00802071"/>
    <w:rsid w:val="0080234D"/>
    <w:rsid w:val="00804AFA"/>
    <w:rsid w:val="00807BA4"/>
    <w:rsid w:val="008122D2"/>
    <w:rsid w:val="0081294C"/>
    <w:rsid w:val="0081369D"/>
    <w:rsid w:val="00814EE5"/>
    <w:rsid w:val="008171C8"/>
    <w:rsid w:val="00823451"/>
    <w:rsid w:val="00825814"/>
    <w:rsid w:val="0082607D"/>
    <w:rsid w:val="00835057"/>
    <w:rsid w:val="00837753"/>
    <w:rsid w:val="00841348"/>
    <w:rsid w:val="00841A93"/>
    <w:rsid w:val="00842665"/>
    <w:rsid w:val="00843AEF"/>
    <w:rsid w:val="00843F0F"/>
    <w:rsid w:val="00844BED"/>
    <w:rsid w:val="00846682"/>
    <w:rsid w:val="00846CB3"/>
    <w:rsid w:val="00847B0A"/>
    <w:rsid w:val="008502A3"/>
    <w:rsid w:val="008517A4"/>
    <w:rsid w:val="00851BB5"/>
    <w:rsid w:val="0085387F"/>
    <w:rsid w:val="008540DE"/>
    <w:rsid w:val="00855547"/>
    <w:rsid w:val="008555E2"/>
    <w:rsid w:val="00857314"/>
    <w:rsid w:val="0085777E"/>
    <w:rsid w:val="00857C4E"/>
    <w:rsid w:val="00857F00"/>
    <w:rsid w:val="00860ACC"/>
    <w:rsid w:val="00860EAE"/>
    <w:rsid w:val="0086110E"/>
    <w:rsid w:val="00862921"/>
    <w:rsid w:val="00863F46"/>
    <w:rsid w:val="00865E9F"/>
    <w:rsid w:val="00865FAC"/>
    <w:rsid w:val="00865FEB"/>
    <w:rsid w:val="00867A44"/>
    <w:rsid w:val="008708B8"/>
    <w:rsid w:val="00870F6B"/>
    <w:rsid w:val="0087160E"/>
    <w:rsid w:val="00872D4B"/>
    <w:rsid w:val="00873444"/>
    <w:rsid w:val="00875509"/>
    <w:rsid w:val="00875526"/>
    <w:rsid w:val="008758F9"/>
    <w:rsid w:val="0087626F"/>
    <w:rsid w:val="008800EC"/>
    <w:rsid w:val="008809D4"/>
    <w:rsid w:val="008810DF"/>
    <w:rsid w:val="00884FE0"/>
    <w:rsid w:val="0088699B"/>
    <w:rsid w:val="00887CB1"/>
    <w:rsid w:val="00890461"/>
    <w:rsid w:val="00890CFC"/>
    <w:rsid w:val="00891CFA"/>
    <w:rsid w:val="008937CF"/>
    <w:rsid w:val="008942CB"/>
    <w:rsid w:val="008A1AE9"/>
    <w:rsid w:val="008A2125"/>
    <w:rsid w:val="008A2DE0"/>
    <w:rsid w:val="008A5173"/>
    <w:rsid w:val="008A5D69"/>
    <w:rsid w:val="008A5E43"/>
    <w:rsid w:val="008A60D5"/>
    <w:rsid w:val="008A796E"/>
    <w:rsid w:val="008B3754"/>
    <w:rsid w:val="008B549D"/>
    <w:rsid w:val="008B7354"/>
    <w:rsid w:val="008B7661"/>
    <w:rsid w:val="008C08D1"/>
    <w:rsid w:val="008C1E4F"/>
    <w:rsid w:val="008C250E"/>
    <w:rsid w:val="008C31AF"/>
    <w:rsid w:val="008D06AC"/>
    <w:rsid w:val="008D2C0C"/>
    <w:rsid w:val="008D4001"/>
    <w:rsid w:val="008D5213"/>
    <w:rsid w:val="008D684B"/>
    <w:rsid w:val="008E2387"/>
    <w:rsid w:val="008E6689"/>
    <w:rsid w:val="008E78CD"/>
    <w:rsid w:val="008E7CEA"/>
    <w:rsid w:val="008E7EB0"/>
    <w:rsid w:val="008F06FF"/>
    <w:rsid w:val="008F1644"/>
    <w:rsid w:val="008F1C26"/>
    <w:rsid w:val="008F2E7A"/>
    <w:rsid w:val="008F312D"/>
    <w:rsid w:val="008F4FE7"/>
    <w:rsid w:val="008F5190"/>
    <w:rsid w:val="008F5361"/>
    <w:rsid w:val="008F5FA2"/>
    <w:rsid w:val="008F62D6"/>
    <w:rsid w:val="008F7D44"/>
    <w:rsid w:val="00900D4D"/>
    <w:rsid w:val="00901FBD"/>
    <w:rsid w:val="009029B9"/>
    <w:rsid w:val="00902E14"/>
    <w:rsid w:val="009117EC"/>
    <w:rsid w:val="00911FB7"/>
    <w:rsid w:val="00914388"/>
    <w:rsid w:val="00921219"/>
    <w:rsid w:val="0092257D"/>
    <w:rsid w:val="00925D76"/>
    <w:rsid w:val="009301B8"/>
    <w:rsid w:val="00930309"/>
    <w:rsid w:val="00933402"/>
    <w:rsid w:val="00933715"/>
    <w:rsid w:val="009359D8"/>
    <w:rsid w:val="00937C61"/>
    <w:rsid w:val="009402EE"/>
    <w:rsid w:val="009403DE"/>
    <w:rsid w:val="009428DB"/>
    <w:rsid w:val="00945E22"/>
    <w:rsid w:val="00946A4A"/>
    <w:rsid w:val="00952007"/>
    <w:rsid w:val="00954EF1"/>
    <w:rsid w:val="00955CAF"/>
    <w:rsid w:val="00960300"/>
    <w:rsid w:val="00960423"/>
    <w:rsid w:val="00960F90"/>
    <w:rsid w:val="00961913"/>
    <w:rsid w:val="0096195D"/>
    <w:rsid w:val="00962B49"/>
    <w:rsid w:val="0096482B"/>
    <w:rsid w:val="00966DA9"/>
    <w:rsid w:val="009700EA"/>
    <w:rsid w:val="009746E3"/>
    <w:rsid w:val="009747BD"/>
    <w:rsid w:val="009819DC"/>
    <w:rsid w:val="00982290"/>
    <w:rsid w:val="00983873"/>
    <w:rsid w:val="00987283"/>
    <w:rsid w:val="0099199B"/>
    <w:rsid w:val="00992F42"/>
    <w:rsid w:val="009A0588"/>
    <w:rsid w:val="009A54F9"/>
    <w:rsid w:val="009A73D0"/>
    <w:rsid w:val="009A7EBC"/>
    <w:rsid w:val="009A7F72"/>
    <w:rsid w:val="009B094C"/>
    <w:rsid w:val="009B098C"/>
    <w:rsid w:val="009B0E57"/>
    <w:rsid w:val="009B1627"/>
    <w:rsid w:val="009B1EF0"/>
    <w:rsid w:val="009B303A"/>
    <w:rsid w:val="009B40DE"/>
    <w:rsid w:val="009B5552"/>
    <w:rsid w:val="009B57E2"/>
    <w:rsid w:val="009C06E5"/>
    <w:rsid w:val="009C06F8"/>
    <w:rsid w:val="009C21A8"/>
    <w:rsid w:val="009C319C"/>
    <w:rsid w:val="009C540F"/>
    <w:rsid w:val="009C6505"/>
    <w:rsid w:val="009C67DD"/>
    <w:rsid w:val="009C6A59"/>
    <w:rsid w:val="009C6F6C"/>
    <w:rsid w:val="009C71A1"/>
    <w:rsid w:val="009C7397"/>
    <w:rsid w:val="009D000E"/>
    <w:rsid w:val="009D0394"/>
    <w:rsid w:val="009D12BF"/>
    <w:rsid w:val="009D23E5"/>
    <w:rsid w:val="009D274A"/>
    <w:rsid w:val="009D31FE"/>
    <w:rsid w:val="009D334E"/>
    <w:rsid w:val="009D4B3F"/>
    <w:rsid w:val="009D5D1C"/>
    <w:rsid w:val="009D644F"/>
    <w:rsid w:val="009D6B25"/>
    <w:rsid w:val="009E1B92"/>
    <w:rsid w:val="009E27DF"/>
    <w:rsid w:val="009E3204"/>
    <w:rsid w:val="009E5C36"/>
    <w:rsid w:val="009F514C"/>
    <w:rsid w:val="00A07AC0"/>
    <w:rsid w:val="00A12986"/>
    <w:rsid w:val="00A13915"/>
    <w:rsid w:val="00A146AD"/>
    <w:rsid w:val="00A15836"/>
    <w:rsid w:val="00A2076F"/>
    <w:rsid w:val="00A23C68"/>
    <w:rsid w:val="00A2467A"/>
    <w:rsid w:val="00A31570"/>
    <w:rsid w:val="00A31857"/>
    <w:rsid w:val="00A32CC2"/>
    <w:rsid w:val="00A36EC1"/>
    <w:rsid w:val="00A40FDF"/>
    <w:rsid w:val="00A42782"/>
    <w:rsid w:val="00A505F8"/>
    <w:rsid w:val="00A50B78"/>
    <w:rsid w:val="00A514A9"/>
    <w:rsid w:val="00A530B7"/>
    <w:rsid w:val="00A53CCF"/>
    <w:rsid w:val="00A54388"/>
    <w:rsid w:val="00A54423"/>
    <w:rsid w:val="00A55A3F"/>
    <w:rsid w:val="00A55A42"/>
    <w:rsid w:val="00A55FB6"/>
    <w:rsid w:val="00A56AA1"/>
    <w:rsid w:val="00A642FF"/>
    <w:rsid w:val="00A646EE"/>
    <w:rsid w:val="00A67F41"/>
    <w:rsid w:val="00A74FDE"/>
    <w:rsid w:val="00A804C5"/>
    <w:rsid w:val="00A80C43"/>
    <w:rsid w:val="00A81D5E"/>
    <w:rsid w:val="00A83DC0"/>
    <w:rsid w:val="00A847B8"/>
    <w:rsid w:val="00A863C8"/>
    <w:rsid w:val="00A869AC"/>
    <w:rsid w:val="00A86A46"/>
    <w:rsid w:val="00A90F57"/>
    <w:rsid w:val="00AA0459"/>
    <w:rsid w:val="00AA0473"/>
    <w:rsid w:val="00AA0B3A"/>
    <w:rsid w:val="00AA20A0"/>
    <w:rsid w:val="00AA3281"/>
    <w:rsid w:val="00AA3747"/>
    <w:rsid w:val="00AA5E1E"/>
    <w:rsid w:val="00AA617D"/>
    <w:rsid w:val="00AA6861"/>
    <w:rsid w:val="00AB1428"/>
    <w:rsid w:val="00AB3CE9"/>
    <w:rsid w:val="00AB55E8"/>
    <w:rsid w:val="00AB5FBA"/>
    <w:rsid w:val="00AB6B42"/>
    <w:rsid w:val="00AC21CE"/>
    <w:rsid w:val="00AC69FC"/>
    <w:rsid w:val="00AD0075"/>
    <w:rsid w:val="00AD039B"/>
    <w:rsid w:val="00AD12C4"/>
    <w:rsid w:val="00AD3FE1"/>
    <w:rsid w:val="00AD4211"/>
    <w:rsid w:val="00AD478C"/>
    <w:rsid w:val="00AD7760"/>
    <w:rsid w:val="00AE05AD"/>
    <w:rsid w:val="00AE1211"/>
    <w:rsid w:val="00AE6C51"/>
    <w:rsid w:val="00AE7744"/>
    <w:rsid w:val="00AE7971"/>
    <w:rsid w:val="00AF2A25"/>
    <w:rsid w:val="00AF3216"/>
    <w:rsid w:val="00AF7ACC"/>
    <w:rsid w:val="00AF7D92"/>
    <w:rsid w:val="00B03436"/>
    <w:rsid w:val="00B05103"/>
    <w:rsid w:val="00B05CA7"/>
    <w:rsid w:val="00B06058"/>
    <w:rsid w:val="00B071F0"/>
    <w:rsid w:val="00B07CA8"/>
    <w:rsid w:val="00B1104D"/>
    <w:rsid w:val="00B1167A"/>
    <w:rsid w:val="00B14E4E"/>
    <w:rsid w:val="00B25B1E"/>
    <w:rsid w:val="00B30B04"/>
    <w:rsid w:val="00B3167B"/>
    <w:rsid w:val="00B32214"/>
    <w:rsid w:val="00B34F22"/>
    <w:rsid w:val="00B366F3"/>
    <w:rsid w:val="00B41C0B"/>
    <w:rsid w:val="00B46CD5"/>
    <w:rsid w:val="00B50559"/>
    <w:rsid w:val="00B5218F"/>
    <w:rsid w:val="00B53192"/>
    <w:rsid w:val="00B54AEE"/>
    <w:rsid w:val="00B57C74"/>
    <w:rsid w:val="00B62CF7"/>
    <w:rsid w:val="00B640DA"/>
    <w:rsid w:val="00B64160"/>
    <w:rsid w:val="00B649A9"/>
    <w:rsid w:val="00B651D6"/>
    <w:rsid w:val="00B655E0"/>
    <w:rsid w:val="00B65F0C"/>
    <w:rsid w:val="00B67832"/>
    <w:rsid w:val="00B67C48"/>
    <w:rsid w:val="00B72AA5"/>
    <w:rsid w:val="00B74952"/>
    <w:rsid w:val="00B754C7"/>
    <w:rsid w:val="00B80206"/>
    <w:rsid w:val="00B802B2"/>
    <w:rsid w:val="00B804D2"/>
    <w:rsid w:val="00B83A61"/>
    <w:rsid w:val="00B8426A"/>
    <w:rsid w:val="00B858BB"/>
    <w:rsid w:val="00B85F23"/>
    <w:rsid w:val="00B86509"/>
    <w:rsid w:val="00B86EEC"/>
    <w:rsid w:val="00B873EE"/>
    <w:rsid w:val="00B9000F"/>
    <w:rsid w:val="00B90E19"/>
    <w:rsid w:val="00B953FF"/>
    <w:rsid w:val="00B9577D"/>
    <w:rsid w:val="00BA49A6"/>
    <w:rsid w:val="00BB179E"/>
    <w:rsid w:val="00BB1861"/>
    <w:rsid w:val="00BB286A"/>
    <w:rsid w:val="00BB3E2A"/>
    <w:rsid w:val="00BB3FE4"/>
    <w:rsid w:val="00BB55C8"/>
    <w:rsid w:val="00BB59E8"/>
    <w:rsid w:val="00BB6178"/>
    <w:rsid w:val="00BC0632"/>
    <w:rsid w:val="00BC16C5"/>
    <w:rsid w:val="00BC1D95"/>
    <w:rsid w:val="00BC1EA4"/>
    <w:rsid w:val="00BC22A0"/>
    <w:rsid w:val="00BC2C9D"/>
    <w:rsid w:val="00BC33B9"/>
    <w:rsid w:val="00BC4ABF"/>
    <w:rsid w:val="00BC59A9"/>
    <w:rsid w:val="00BC7171"/>
    <w:rsid w:val="00BD0DBC"/>
    <w:rsid w:val="00BD3898"/>
    <w:rsid w:val="00BD65B8"/>
    <w:rsid w:val="00BD74E4"/>
    <w:rsid w:val="00BD79B3"/>
    <w:rsid w:val="00BE004D"/>
    <w:rsid w:val="00BE3F8C"/>
    <w:rsid w:val="00BE46A3"/>
    <w:rsid w:val="00BE6AC2"/>
    <w:rsid w:val="00BF2370"/>
    <w:rsid w:val="00BF2D0B"/>
    <w:rsid w:val="00BF4881"/>
    <w:rsid w:val="00BF4F29"/>
    <w:rsid w:val="00BF6F88"/>
    <w:rsid w:val="00C006EE"/>
    <w:rsid w:val="00C0210C"/>
    <w:rsid w:val="00C03ABB"/>
    <w:rsid w:val="00C108F5"/>
    <w:rsid w:val="00C11F5E"/>
    <w:rsid w:val="00C12786"/>
    <w:rsid w:val="00C143B6"/>
    <w:rsid w:val="00C163CC"/>
    <w:rsid w:val="00C17615"/>
    <w:rsid w:val="00C21AAD"/>
    <w:rsid w:val="00C223C9"/>
    <w:rsid w:val="00C25058"/>
    <w:rsid w:val="00C27D16"/>
    <w:rsid w:val="00C30859"/>
    <w:rsid w:val="00C30927"/>
    <w:rsid w:val="00C321D8"/>
    <w:rsid w:val="00C34B8D"/>
    <w:rsid w:val="00C353E2"/>
    <w:rsid w:val="00C3556F"/>
    <w:rsid w:val="00C36F26"/>
    <w:rsid w:val="00C37E6A"/>
    <w:rsid w:val="00C40F3E"/>
    <w:rsid w:val="00C41562"/>
    <w:rsid w:val="00C426EB"/>
    <w:rsid w:val="00C45EFE"/>
    <w:rsid w:val="00C46660"/>
    <w:rsid w:val="00C47465"/>
    <w:rsid w:val="00C51648"/>
    <w:rsid w:val="00C556C7"/>
    <w:rsid w:val="00C55BEB"/>
    <w:rsid w:val="00C60E32"/>
    <w:rsid w:val="00C65720"/>
    <w:rsid w:val="00C6575D"/>
    <w:rsid w:val="00C704A9"/>
    <w:rsid w:val="00C713E5"/>
    <w:rsid w:val="00C7402D"/>
    <w:rsid w:val="00C753B4"/>
    <w:rsid w:val="00C76032"/>
    <w:rsid w:val="00C76A31"/>
    <w:rsid w:val="00C76FCF"/>
    <w:rsid w:val="00C81BA3"/>
    <w:rsid w:val="00C8284B"/>
    <w:rsid w:val="00C830BE"/>
    <w:rsid w:val="00C83875"/>
    <w:rsid w:val="00C8473F"/>
    <w:rsid w:val="00C85AAD"/>
    <w:rsid w:val="00C861B8"/>
    <w:rsid w:val="00C93896"/>
    <w:rsid w:val="00C94A48"/>
    <w:rsid w:val="00CA0065"/>
    <w:rsid w:val="00CA453A"/>
    <w:rsid w:val="00CA4F02"/>
    <w:rsid w:val="00CA6AD1"/>
    <w:rsid w:val="00CA7BDB"/>
    <w:rsid w:val="00CB1377"/>
    <w:rsid w:val="00CB2A55"/>
    <w:rsid w:val="00CB3FBB"/>
    <w:rsid w:val="00CB4BAC"/>
    <w:rsid w:val="00CB4F21"/>
    <w:rsid w:val="00CB6A11"/>
    <w:rsid w:val="00CC1DC0"/>
    <w:rsid w:val="00CC1DD2"/>
    <w:rsid w:val="00CD1530"/>
    <w:rsid w:val="00CD1BFD"/>
    <w:rsid w:val="00CD23FC"/>
    <w:rsid w:val="00CD3DF0"/>
    <w:rsid w:val="00CD4701"/>
    <w:rsid w:val="00CD5738"/>
    <w:rsid w:val="00CD5ABB"/>
    <w:rsid w:val="00CE180A"/>
    <w:rsid w:val="00CE1813"/>
    <w:rsid w:val="00CE187A"/>
    <w:rsid w:val="00CE1E45"/>
    <w:rsid w:val="00CE2057"/>
    <w:rsid w:val="00CE25C6"/>
    <w:rsid w:val="00CE3F92"/>
    <w:rsid w:val="00CE4577"/>
    <w:rsid w:val="00CE50FC"/>
    <w:rsid w:val="00CE54C7"/>
    <w:rsid w:val="00CE5DBA"/>
    <w:rsid w:val="00CE5EC3"/>
    <w:rsid w:val="00CE6518"/>
    <w:rsid w:val="00CF13A8"/>
    <w:rsid w:val="00CF2C10"/>
    <w:rsid w:val="00CF2F51"/>
    <w:rsid w:val="00CF38CB"/>
    <w:rsid w:val="00CF3A72"/>
    <w:rsid w:val="00CF3C3B"/>
    <w:rsid w:val="00CF400D"/>
    <w:rsid w:val="00CF4270"/>
    <w:rsid w:val="00CF45C7"/>
    <w:rsid w:val="00CF52BE"/>
    <w:rsid w:val="00D05A27"/>
    <w:rsid w:val="00D06227"/>
    <w:rsid w:val="00D124D0"/>
    <w:rsid w:val="00D13A9D"/>
    <w:rsid w:val="00D1439A"/>
    <w:rsid w:val="00D14BCD"/>
    <w:rsid w:val="00D169F4"/>
    <w:rsid w:val="00D173E2"/>
    <w:rsid w:val="00D17C96"/>
    <w:rsid w:val="00D201F4"/>
    <w:rsid w:val="00D22002"/>
    <w:rsid w:val="00D22A21"/>
    <w:rsid w:val="00D23BF7"/>
    <w:rsid w:val="00D24BDE"/>
    <w:rsid w:val="00D308C5"/>
    <w:rsid w:val="00D30942"/>
    <w:rsid w:val="00D31A0F"/>
    <w:rsid w:val="00D353E5"/>
    <w:rsid w:val="00D37440"/>
    <w:rsid w:val="00D401B1"/>
    <w:rsid w:val="00D41538"/>
    <w:rsid w:val="00D43351"/>
    <w:rsid w:val="00D461C2"/>
    <w:rsid w:val="00D4736B"/>
    <w:rsid w:val="00D56354"/>
    <w:rsid w:val="00D57639"/>
    <w:rsid w:val="00D57C54"/>
    <w:rsid w:val="00D605AC"/>
    <w:rsid w:val="00D60828"/>
    <w:rsid w:val="00D6328F"/>
    <w:rsid w:val="00D63610"/>
    <w:rsid w:val="00D63809"/>
    <w:rsid w:val="00D64422"/>
    <w:rsid w:val="00D674DB"/>
    <w:rsid w:val="00D70B8B"/>
    <w:rsid w:val="00D70E20"/>
    <w:rsid w:val="00D71ABF"/>
    <w:rsid w:val="00D729CE"/>
    <w:rsid w:val="00D73293"/>
    <w:rsid w:val="00D757F0"/>
    <w:rsid w:val="00D820E1"/>
    <w:rsid w:val="00D84245"/>
    <w:rsid w:val="00D8642B"/>
    <w:rsid w:val="00D8677A"/>
    <w:rsid w:val="00D90A05"/>
    <w:rsid w:val="00D919C3"/>
    <w:rsid w:val="00D9400A"/>
    <w:rsid w:val="00D95081"/>
    <w:rsid w:val="00D96CA3"/>
    <w:rsid w:val="00DA1EA5"/>
    <w:rsid w:val="00DA4300"/>
    <w:rsid w:val="00DA522C"/>
    <w:rsid w:val="00DA523F"/>
    <w:rsid w:val="00DA5A48"/>
    <w:rsid w:val="00DA5FBA"/>
    <w:rsid w:val="00DB1681"/>
    <w:rsid w:val="00DB48CB"/>
    <w:rsid w:val="00DB5F59"/>
    <w:rsid w:val="00DC4659"/>
    <w:rsid w:val="00DC5025"/>
    <w:rsid w:val="00DC5B26"/>
    <w:rsid w:val="00DC647E"/>
    <w:rsid w:val="00DC6C45"/>
    <w:rsid w:val="00DD218D"/>
    <w:rsid w:val="00DD2EF6"/>
    <w:rsid w:val="00DD4F7E"/>
    <w:rsid w:val="00DD5445"/>
    <w:rsid w:val="00DD6548"/>
    <w:rsid w:val="00DE0BF2"/>
    <w:rsid w:val="00DE0EF5"/>
    <w:rsid w:val="00DE644E"/>
    <w:rsid w:val="00DE6BEE"/>
    <w:rsid w:val="00DF1400"/>
    <w:rsid w:val="00DF19C9"/>
    <w:rsid w:val="00DF381E"/>
    <w:rsid w:val="00DF4D90"/>
    <w:rsid w:val="00E021B1"/>
    <w:rsid w:val="00E02BC9"/>
    <w:rsid w:val="00E0711F"/>
    <w:rsid w:val="00E073A9"/>
    <w:rsid w:val="00E07B20"/>
    <w:rsid w:val="00E17C0C"/>
    <w:rsid w:val="00E20518"/>
    <w:rsid w:val="00E21349"/>
    <w:rsid w:val="00E2195D"/>
    <w:rsid w:val="00E220CA"/>
    <w:rsid w:val="00E225F7"/>
    <w:rsid w:val="00E24331"/>
    <w:rsid w:val="00E2636A"/>
    <w:rsid w:val="00E26731"/>
    <w:rsid w:val="00E3057A"/>
    <w:rsid w:val="00E305B0"/>
    <w:rsid w:val="00E307C4"/>
    <w:rsid w:val="00E3353E"/>
    <w:rsid w:val="00E34B55"/>
    <w:rsid w:val="00E34FDE"/>
    <w:rsid w:val="00E3525A"/>
    <w:rsid w:val="00E379B2"/>
    <w:rsid w:val="00E43008"/>
    <w:rsid w:val="00E4389C"/>
    <w:rsid w:val="00E43A03"/>
    <w:rsid w:val="00E44EC6"/>
    <w:rsid w:val="00E51599"/>
    <w:rsid w:val="00E51B0A"/>
    <w:rsid w:val="00E56858"/>
    <w:rsid w:val="00E63F68"/>
    <w:rsid w:val="00E70494"/>
    <w:rsid w:val="00E70DC2"/>
    <w:rsid w:val="00E7161F"/>
    <w:rsid w:val="00E72C87"/>
    <w:rsid w:val="00E73A62"/>
    <w:rsid w:val="00E74895"/>
    <w:rsid w:val="00E80AA1"/>
    <w:rsid w:val="00E8151D"/>
    <w:rsid w:val="00E823C7"/>
    <w:rsid w:val="00E82B0B"/>
    <w:rsid w:val="00E83429"/>
    <w:rsid w:val="00E838D0"/>
    <w:rsid w:val="00E8727F"/>
    <w:rsid w:val="00E929E8"/>
    <w:rsid w:val="00E92EE3"/>
    <w:rsid w:val="00E93662"/>
    <w:rsid w:val="00E94B5D"/>
    <w:rsid w:val="00E96EA4"/>
    <w:rsid w:val="00E96EB2"/>
    <w:rsid w:val="00E97094"/>
    <w:rsid w:val="00E971FF"/>
    <w:rsid w:val="00EA4EC6"/>
    <w:rsid w:val="00EA7318"/>
    <w:rsid w:val="00EB008A"/>
    <w:rsid w:val="00EB1885"/>
    <w:rsid w:val="00EB61F7"/>
    <w:rsid w:val="00EB6EF9"/>
    <w:rsid w:val="00EB7103"/>
    <w:rsid w:val="00EB7772"/>
    <w:rsid w:val="00EC6BE3"/>
    <w:rsid w:val="00ED0B38"/>
    <w:rsid w:val="00ED12B3"/>
    <w:rsid w:val="00ED15C9"/>
    <w:rsid w:val="00ED52D3"/>
    <w:rsid w:val="00ED565C"/>
    <w:rsid w:val="00EE39DE"/>
    <w:rsid w:val="00EE414B"/>
    <w:rsid w:val="00EE4516"/>
    <w:rsid w:val="00EE4C9A"/>
    <w:rsid w:val="00EE6748"/>
    <w:rsid w:val="00EE7230"/>
    <w:rsid w:val="00EE7CA4"/>
    <w:rsid w:val="00EF20B4"/>
    <w:rsid w:val="00EF3E41"/>
    <w:rsid w:val="00EF51FF"/>
    <w:rsid w:val="00F0252B"/>
    <w:rsid w:val="00F059C1"/>
    <w:rsid w:val="00F06898"/>
    <w:rsid w:val="00F06DC0"/>
    <w:rsid w:val="00F119EF"/>
    <w:rsid w:val="00F11CFC"/>
    <w:rsid w:val="00F123DA"/>
    <w:rsid w:val="00F12898"/>
    <w:rsid w:val="00F1545E"/>
    <w:rsid w:val="00F24AA2"/>
    <w:rsid w:val="00F31238"/>
    <w:rsid w:val="00F32C94"/>
    <w:rsid w:val="00F35F09"/>
    <w:rsid w:val="00F37D70"/>
    <w:rsid w:val="00F40208"/>
    <w:rsid w:val="00F4113E"/>
    <w:rsid w:val="00F419A3"/>
    <w:rsid w:val="00F43C7D"/>
    <w:rsid w:val="00F454F7"/>
    <w:rsid w:val="00F55442"/>
    <w:rsid w:val="00F57F3D"/>
    <w:rsid w:val="00F61D9B"/>
    <w:rsid w:val="00F62A5E"/>
    <w:rsid w:val="00F6539C"/>
    <w:rsid w:val="00F65E58"/>
    <w:rsid w:val="00F67332"/>
    <w:rsid w:val="00F70464"/>
    <w:rsid w:val="00F71A3A"/>
    <w:rsid w:val="00F73FA4"/>
    <w:rsid w:val="00F74A42"/>
    <w:rsid w:val="00F74DF0"/>
    <w:rsid w:val="00F75855"/>
    <w:rsid w:val="00F75BF6"/>
    <w:rsid w:val="00F76979"/>
    <w:rsid w:val="00F80ED7"/>
    <w:rsid w:val="00F813BB"/>
    <w:rsid w:val="00F81C24"/>
    <w:rsid w:val="00F81EAE"/>
    <w:rsid w:val="00F82E77"/>
    <w:rsid w:val="00F83AEF"/>
    <w:rsid w:val="00F85C1C"/>
    <w:rsid w:val="00F9038F"/>
    <w:rsid w:val="00F93E67"/>
    <w:rsid w:val="00F95F79"/>
    <w:rsid w:val="00F96CED"/>
    <w:rsid w:val="00F96DD4"/>
    <w:rsid w:val="00F977F4"/>
    <w:rsid w:val="00FA0AC5"/>
    <w:rsid w:val="00FA6623"/>
    <w:rsid w:val="00FB0B6D"/>
    <w:rsid w:val="00FB4B80"/>
    <w:rsid w:val="00FB4E4C"/>
    <w:rsid w:val="00FB6144"/>
    <w:rsid w:val="00FB7F05"/>
    <w:rsid w:val="00FC0B20"/>
    <w:rsid w:val="00FC1401"/>
    <w:rsid w:val="00FC3940"/>
    <w:rsid w:val="00FC6D27"/>
    <w:rsid w:val="00FC7006"/>
    <w:rsid w:val="00FD0413"/>
    <w:rsid w:val="00FD1601"/>
    <w:rsid w:val="00FD2451"/>
    <w:rsid w:val="00FD414D"/>
    <w:rsid w:val="00FD4C04"/>
    <w:rsid w:val="00FD7B67"/>
    <w:rsid w:val="00FD7B98"/>
    <w:rsid w:val="00FE04E5"/>
    <w:rsid w:val="00FE0CC5"/>
    <w:rsid w:val="00FE183D"/>
    <w:rsid w:val="00FE20B3"/>
    <w:rsid w:val="00FE28E0"/>
    <w:rsid w:val="00FE2DE5"/>
    <w:rsid w:val="00FE5540"/>
    <w:rsid w:val="00FE76E9"/>
    <w:rsid w:val="00FF10A1"/>
    <w:rsid w:val="00FF180A"/>
    <w:rsid w:val="00FF1C87"/>
    <w:rsid w:val="00FF1CAE"/>
    <w:rsid w:val="00FF7691"/>
    <w:rsid w:val="10557BF9"/>
    <w:rsid w:val="31AD2424"/>
    <w:rsid w:val="3F423DA9"/>
    <w:rsid w:val="43D32C60"/>
    <w:rsid w:val="52FD7F2E"/>
    <w:rsid w:val="5B4518F6"/>
    <w:rsid w:val="5DDF7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560" w:lineRule="exact"/>
      <w:ind w:firstLine="200" w:firstLineChars="20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2"/>
    <w:qFormat/>
    <w:uiPriority w:val="9"/>
    <w:pPr>
      <w:spacing w:line="600" w:lineRule="exact"/>
      <w:outlineLvl w:val="0"/>
    </w:pPr>
    <w:rPr>
      <w:rFonts w:eastAsia="黑体"/>
      <w:bCs/>
      <w:kern w:val="44"/>
      <w:szCs w:val="44"/>
    </w:rPr>
  </w:style>
  <w:style w:type="paragraph" w:styleId="3">
    <w:name w:val="heading 2"/>
    <w:basedOn w:val="1"/>
    <w:next w:val="1"/>
    <w:link w:val="23"/>
    <w:unhideWhenUsed/>
    <w:qFormat/>
    <w:uiPriority w:val="9"/>
    <w:pPr>
      <w:spacing w:line="600" w:lineRule="exact"/>
      <w:outlineLvl w:val="1"/>
    </w:pPr>
    <w:rPr>
      <w:rFonts w:eastAsia="楷体_GB2312" w:cstheme="majorBidi"/>
      <w:bCs/>
      <w:szCs w:val="32"/>
    </w:rPr>
  </w:style>
  <w:style w:type="paragraph" w:styleId="4">
    <w:name w:val="heading 3"/>
    <w:basedOn w:val="1"/>
    <w:next w:val="1"/>
    <w:unhideWhenUsed/>
    <w:qFormat/>
    <w:uiPriority w:val="9"/>
    <w:pPr>
      <w:outlineLvl w:val="2"/>
    </w:pPr>
    <w:rPr>
      <w:rFonts w:cs="仿宋"/>
      <w:b/>
      <w:kern w:val="0"/>
      <w:szCs w:val="32"/>
      <w:lang w:val="zh-CN" w:bidi="zh-CN"/>
    </w:rPr>
  </w:style>
  <w:style w:type="paragraph" w:styleId="5">
    <w:name w:val="heading 4"/>
    <w:basedOn w:val="1"/>
    <w:next w:val="1"/>
    <w:unhideWhenUsed/>
    <w:qFormat/>
    <w:uiPriority w:val="9"/>
    <w:pPr>
      <w:outlineLvl w:val="3"/>
    </w:p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30"/>
    <w:semiHidden/>
    <w:unhideWhenUsed/>
    <w:qFormat/>
    <w:uiPriority w:val="99"/>
    <w:rPr>
      <w:rFonts w:ascii="宋体"/>
      <w:sz w:val="18"/>
      <w:szCs w:val="18"/>
    </w:rPr>
  </w:style>
  <w:style w:type="paragraph" w:styleId="7">
    <w:name w:val="toa heading"/>
    <w:basedOn w:val="1"/>
    <w:next w:val="1"/>
    <w:unhideWhenUsed/>
    <w:qFormat/>
    <w:uiPriority w:val="99"/>
    <w:rPr>
      <w:rFonts w:ascii="Arial" w:hAnsi="Arial"/>
      <w:sz w:val="24"/>
    </w:rPr>
  </w:style>
  <w:style w:type="paragraph" w:styleId="8">
    <w:name w:val="annotation text"/>
    <w:basedOn w:val="1"/>
    <w:link w:val="31"/>
    <w:semiHidden/>
    <w:unhideWhenUsed/>
    <w:qFormat/>
    <w:uiPriority w:val="99"/>
    <w:pPr>
      <w:jc w:val="left"/>
    </w:pPr>
  </w:style>
  <w:style w:type="paragraph" w:styleId="9">
    <w:name w:val="toc 3"/>
    <w:basedOn w:val="1"/>
    <w:next w:val="1"/>
    <w:unhideWhenUsed/>
    <w:qFormat/>
    <w:uiPriority w:val="39"/>
    <w:pPr>
      <w:ind w:left="840" w:leftChars="400"/>
    </w:pPr>
  </w:style>
  <w:style w:type="paragraph" w:styleId="10">
    <w:name w:val="Balloon Text"/>
    <w:basedOn w:val="1"/>
    <w:link w:val="28"/>
    <w:semiHidden/>
    <w:unhideWhenUsed/>
    <w:qFormat/>
    <w:uiPriority w:val="99"/>
    <w:rPr>
      <w:sz w:val="18"/>
      <w:szCs w:val="18"/>
    </w:rPr>
  </w:style>
  <w:style w:type="paragraph" w:styleId="11">
    <w:name w:val="footer"/>
    <w:basedOn w:val="1"/>
    <w:link w:val="25"/>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24"/>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toc 1"/>
    <w:basedOn w:val="1"/>
    <w:next w:val="1"/>
    <w:unhideWhenUsed/>
    <w:qFormat/>
    <w:uiPriority w:val="39"/>
    <w:pPr>
      <w:spacing w:before="60" w:after="60"/>
      <w:ind w:firstLine="0" w:firstLineChars="0"/>
    </w:pPr>
    <w:rPr>
      <w:rFonts w:eastAsia="黑体"/>
      <w:bCs/>
      <w:szCs w:val="28"/>
    </w:rPr>
  </w:style>
  <w:style w:type="paragraph" w:styleId="14">
    <w:name w:val="Subtitle"/>
    <w:basedOn w:val="1"/>
    <w:next w:val="1"/>
    <w:link w:val="33"/>
    <w:qFormat/>
    <w:uiPriority w:val="11"/>
    <w:pPr>
      <w:spacing w:before="240" w:after="60" w:line="312" w:lineRule="atLeast"/>
      <w:jc w:val="center"/>
      <w:outlineLvl w:val="1"/>
    </w:pPr>
    <w:rPr>
      <w:rFonts w:eastAsia="宋体" w:asciiTheme="majorHAnsi" w:hAnsiTheme="majorHAnsi" w:cstheme="majorBidi"/>
      <w:b/>
      <w:bCs/>
      <w:kern w:val="28"/>
      <w:szCs w:val="32"/>
    </w:rPr>
  </w:style>
  <w:style w:type="paragraph" w:styleId="15">
    <w:name w:val="toc 2"/>
    <w:basedOn w:val="1"/>
    <w:next w:val="1"/>
    <w:unhideWhenUsed/>
    <w:qFormat/>
    <w:uiPriority w:val="39"/>
    <w:pPr>
      <w:spacing w:before="60" w:after="60"/>
      <w:ind w:left="100" w:leftChars="100" w:firstLine="0" w:firstLineChars="0"/>
    </w:pPr>
  </w:style>
  <w:style w:type="paragraph" w:styleId="16">
    <w:name w:val="annotation subject"/>
    <w:basedOn w:val="8"/>
    <w:next w:val="8"/>
    <w:link w:val="32"/>
    <w:semiHidden/>
    <w:unhideWhenUsed/>
    <w:qFormat/>
    <w:uiPriority w:val="99"/>
    <w:rPr>
      <w:b/>
      <w:bCs/>
    </w:rPr>
  </w:style>
  <w:style w:type="character" w:styleId="19">
    <w:name w:val="Hyperlink"/>
    <w:basedOn w:val="18"/>
    <w:unhideWhenUsed/>
    <w:qFormat/>
    <w:uiPriority w:val="99"/>
    <w:rPr>
      <w:color w:val="0563C1" w:themeColor="hyperlink"/>
      <w:u w:val="single"/>
      <w14:textFill>
        <w14:solidFill>
          <w14:schemeClr w14:val="hlink"/>
        </w14:solidFill>
      </w14:textFill>
    </w:rPr>
  </w:style>
  <w:style w:type="character" w:styleId="20">
    <w:name w:val="annotation reference"/>
    <w:basedOn w:val="18"/>
    <w:semiHidden/>
    <w:unhideWhenUsed/>
    <w:qFormat/>
    <w:uiPriority w:val="99"/>
    <w:rPr>
      <w:sz w:val="21"/>
      <w:szCs w:val="21"/>
    </w:rPr>
  </w:style>
  <w:style w:type="paragraph" w:customStyle="1" w:styleId="21">
    <w:name w:val="表格"/>
    <w:basedOn w:val="1"/>
    <w:link w:val="35"/>
    <w:qFormat/>
    <w:uiPriority w:val="0"/>
    <w:pPr>
      <w:spacing w:line="280" w:lineRule="exact"/>
      <w:ind w:firstLine="0" w:firstLineChars="0"/>
    </w:pPr>
    <w:rPr>
      <w:sz w:val="24"/>
    </w:rPr>
  </w:style>
  <w:style w:type="character" w:customStyle="1" w:styleId="22">
    <w:name w:val="标题 1 Char"/>
    <w:basedOn w:val="18"/>
    <w:link w:val="2"/>
    <w:qFormat/>
    <w:uiPriority w:val="9"/>
    <w:rPr>
      <w:rFonts w:eastAsia="黑体"/>
      <w:bCs/>
      <w:kern w:val="44"/>
      <w:sz w:val="32"/>
      <w:szCs w:val="44"/>
    </w:rPr>
  </w:style>
  <w:style w:type="character" w:customStyle="1" w:styleId="23">
    <w:name w:val="标题 2 Char"/>
    <w:basedOn w:val="18"/>
    <w:link w:val="3"/>
    <w:qFormat/>
    <w:uiPriority w:val="9"/>
    <w:rPr>
      <w:rFonts w:eastAsia="楷体_GB2312" w:cstheme="majorBidi"/>
      <w:bCs/>
      <w:kern w:val="2"/>
      <w:sz w:val="32"/>
      <w:szCs w:val="32"/>
    </w:rPr>
  </w:style>
  <w:style w:type="character" w:customStyle="1" w:styleId="24">
    <w:name w:val="页眉 Char"/>
    <w:link w:val="12"/>
    <w:qFormat/>
    <w:uiPriority w:val="99"/>
    <w:rPr>
      <w:sz w:val="18"/>
      <w:szCs w:val="18"/>
    </w:rPr>
  </w:style>
  <w:style w:type="character" w:customStyle="1" w:styleId="25">
    <w:name w:val="页脚 Char"/>
    <w:link w:val="11"/>
    <w:qFormat/>
    <w:uiPriority w:val="99"/>
    <w:rPr>
      <w:sz w:val="18"/>
      <w:szCs w:val="18"/>
    </w:rPr>
  </w:style>
  <w:style w:type="character" w:customStyle="1" w:styleId="26">
    <w:name w:val="页眉 字符1"/>
    <w:basedOn w:val="18"/>
    <w:semiHidden/>
    <w:qFormat/>
    <w:uiPriority w:val="99"/>
    <w:rPr>
      <w:rFonts w:ascii="Times New Roman" w:hAnsi="Times New Roman" w:eastAsia="宋体" w:cs="Times New Roman"/>
      <w:sz w:val="18"/>
      <w:szCs w:val="18"/>
    </w:rPr>
  </w:style>
  <w:style w:type="character" w:customStyle="1" w:styleId="27">
    <w:name w:val="页脚 字符1"/>
    <w:basedOn w:val="18"/>
    <w:semiHidden/>
    <w:qFormat/>
    <w:uiPriority w:val="99"/>
    <w:rPr>
      <w:rFonts w:ascii="Times New Roman" w:hAnsi="Times New Roman" w:eastAsia="宋体" w:cs="Times New Roman"/>
      <w:sz w:val="18"/>
      <w:szCs w:val="18"/>
    </w:rPr>
  </w:style>
  <w:style w:type="character" w:customStyle="1" w:styleId="28">
    <w:name w:val="批注框文本 Char"/>
    <w:basedOn w:val="18"/>
    <w:link w:val="10"/>
    <w:semiHidden/>
    <w:qFormat/>
    <w:uiPriority w:val="99"/>
    <w:rPr>
      <w:rFonts w:ascii="Times New Roman" w:hAnsi="Times New Roman" w:eastAsia="宋体" w:cs="Times New Roman"/>
      <w:sz w:val="18"/>
      <w:szCs w:val="18"/>
    </w:rPr>
  </w:style>
  <w:style w:type="paragraph" w:customStyle="1" w:styleId="29">
    <w:name w:val="TOC 标题1"/>
    <w:basedOn w:val="2"/>
    <w:next w:val="1"/>
    <w:unhideWhenUsed/>
    <w:qFormat/>
    <w:uiPriority w:val="39"/>
    <w:pPr>
      <w:widowControl/>
      <w:spacing w:before="240" w:line="259" w:lineRule="auto"/>
      <w:jc w:val="left"/>
      <w:outlineLvl w:val="9"/>
    </w:pPr>
    <w:rPr>
      <w:rFonts w:asciiTheme="majorHAnsi" w:hAnsiTheme="majorHAnsi" w:eastAsiaTheme="majorEastAsia" w:cstheme="majorBidi"/>
      <w:bCs w:val="0"/>
      <w:color w:val="2F5597" w:themeColor="accent1" w:themeShade="BF"/>
      <w:kern w:val="0"/>
      <w:szCs w:val="32"/>
    </w:rPr>
  </w:style>
  <w:style w:type="character" w:customStyle="1" w:styleId="30">
    <w:name w:val="文档结构图 Char"/>
    <w:basedOn w:val="18"/>
    <w:link w:val="6"/>
    <w:semiHidden/>
    <w:qFormat/>
    <w:uiPriority w:val="99"/>
    <w:rPr>
      <w:rFonts w:ascii="宋体" w:hAnsi="Times New Roman" w:eastAsia="宋体" w:cs="Times New Roman"/>
      <w:sz w:val="18"/>
      <w:szCs w:val="18"/>
    </w:rPr>
  </w:style>
  <w:style w:type="character" w:customStyle="1" w:styleId="31">
    <w:name w:val="批注文字 Char"/>
    <w:basedOn w:val="18"/>
    <w:link w:val="8"/>
    <w:semiHidden/>
    <w:qFormat/>
    <w:uiPriority w:val="99"/>
    <w:rPr>
      <w:rFonts w:ascii="Times New Roman" w:hAnsi="Times New Roman" w:eastAsia="宋体" w:cs="Times New Roman"/>
      <w:szCs w:val="24"/>
    </w:rPr>
  </w:style>
  <w:style w:type="character" w:customStyle="1" w:styleId="32">
    <w:name w:val="批注主题 Char"/>
    <w:basedOn w:val="31"/>
    <w:link w:val="16"/>
    <w:semiHidden/>
    <w:qFormat/>
    <w:uiPriority w:val="99"/>
    <w:rPr>
      <w:rFonts w:ascii="Times New Roman" w:hAnsi="Times New Roman" w:eastAsia="宋体" w:cs="Times New Roman"/>
      <w:b/>
      <w:bCs/>
      <w:szCs w:val="24"/>
    </w:rPr>
  </w:style>
  <w:style w:type="character" w:customStyle="1" w:styleId="33">
    <w:name w:val="副标题 Char"/>
    <w:basedOn w:val="18"/>
    <w:link w:val="14"/>
    <w:qFormat/>
    <w:uiPriority w:val="11"/>
    <w:rPr>
      <w:rFonts w:asciiTheme="majorHAnsi" w:hAnsiTheme="majorHAnsi" w:cstheme="majorBidi"/>
      <w:b/>
      <w:bCs/>
      <w:kern w:val="28"/>
      <w:sz w:val="32"/>
      <w:szCs w:val="32"/>
    </w:rPr>
  </w:style>
  <w:style w:type="table" w:customStyle="1" w:styleId="34">
    <w:name w:val="网格型6"/>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5">
    <w:name w:val="表格 字符"/>
    <w:basedOn w:val="18"/>
    <w:link w:val="21"/>
    <w:qFormat/>
    <w:uiPriority w:val="0"/>
    <w:rPr>
      <w:rFonts w:eastAsia="仿宋_GB2312"/>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D552D-D8F6-4950-91F4-3F51E4B466A5}">
  <ds:schemaRefs/>
</ds:datastoreItem>
</file>

<file path=docProps/app.xml><?xml version="1.0" encoding="utf-8"?>
<Properties xmlns="http://schemas.openxmlformats.org/officeDocument/2006/extended-properties" xmlns:vt="http://schemas.openxmlformats.org/officeDocument/2006/docPropsVTypes">
  <Template>Normal.dotm</Template>
  <Pages>7</Pages>
  <Words>456</Words>
  <Characters>2601</Characters>
  <Lines>21</Lines>
  <Paragraphs>6</Paragraphs>
  <TotalTime>69</TotalTime>
  <ScaleCrop>false</ScaleCrop>
  <LinksUpToDate>false</LinksUpToDate>
  <CharactersWithSpaces>3051</CharactersWithSpaces>
  <Application>WPS Office_11.1.0.10446_F1E327BC-269C-435d-A152-05C5408002CA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2020-09-23T08:13:00Z</dcterms:created>
  <dc:creator>致同</dc:creator>
  <cp:lastModifiedBy>小</cp:lastModifiedBy>
  <cp:lastPrinted>2020-09-24T09:23:00Z</cp:lastPrinted>
  <dcterms:modified xsi:type="dcterms:W3CDTF">2021-04-02T01:39:18Z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2052-11.1.0.10446</vt:lpwstr>
  </property>
  <property fmtid="{D5CDD505-2E9C-101B-9397-08002B2CF9AE}" pid="3" name="ICV">
    <vt:lpwstr>4DDE730B2BA74799A9A84DA9C0AFB458</vt:lpwstr>
  </property>
</Properties>
</file>