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700"/>
        </w:tabs>
        <w:spacing w:line="560" w:lineRule="exact"/>
        <w:jc w:val="left"/>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1</w:t>
      </w:r>
    </w:p>
    <w:p>
      <w:pPr>
        <w:spacing w:line="560" w:lineRule="exact"/>
        <w:jc w:val="center"/>
        <w:rPr>
          <w:rFonts w:hint="eastAsia" w:ascii="仿宋" w:hAnsi="仿宋" w:eastAsia="仿宋"/>
          <w:color w:val="auto"/>
          <w:sz w:val="32"/>
          <w:szCs w:val="32"/>
          <w:highlight w:val="none"/>
        </w:rPr>
      </w:pPr>
      <w:r>
        <w:rPr>
          <w:rFonts w:hint="eastAsia" w:ascii="黑体" w:hAnsi="黑体" w:eastAsia="黑体" w:cs="黑体"/>
          <w:color w:val="auto"/>
          <w:sz w:val="36"/>
          <w:szCs w:val="36"/>
          <w:highlight w:val="none"/>
          <w:lang w:eastAsia="zh-CN"/>
        </w:rPr>
        <w:t>花都区学前</w:t>
      </w:r>
      <w:r>
        <w:rPr>
          <w:rFonts w:hint="eastAsia" w:ascii="黑体" w:hAnsi="黑体" w:eastAsia="黑体" w:cs="黑体"/>
          <w:color w:val="auto"/>
          <w:sz w:val="36"/>
          <w:szCs w:val="36"/>
          <w:highlight w:val="none"/>
        </w:rPr>
        <w:t>教育阶段政策性照顾学生分类一览表</w:t>
      </w:r>
    </w:p>
    <w:tbl>
      <w:tblPr>
        <w:tblStyle w:val="2"/>
        <w:tblpPr w:leftFromText="180" w:rightFromText="180" w:vertAnchor="text" w:horzAnchor="page" w:tblpX="1417" w:tblpY="556"/>
        <w:tblOverlap w:val="never"/>
        <w:tblW w:w="9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2944"/>
        <w:gridCol w:w="1014"/>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tblHeader/>
        </w:trPr>
        <w:tc>
          <w:tcPr>
            <w:tcW w:w="60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类别</w:t>
            </w: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ind w:firstLine="723" w:firstLineChars="300"/>
              <w:jc w:val="both"/>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对    象</w:t>
            </w:r>
          </w:p>
        </w:tc>
        <w:tc>
          <w:tcPr>
            <w:tcW w:w="5695"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ind w:firstLine="1928" w:firstLineChars="800"/>
              <w:jc w:val="both"/>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佐证材料参考</w:t>
            </w:r>
          </w:p>
          <w:p>
            <w:pPr>
              <w:spacing w:line="300" w:lineRule="exact"/>
              <w:jc w:val="both"/>
              <w:rPr>
                <w:rFonts w:hint="eastAsia" w:asciiTheme="majorEastAsia" w:hAnsiTheme="majorEastAsia" w:eastAsiaTheme="majorEastAsia" w:cstheme="majorEastAsia"/>
                <w:b/>
                <w:bCs/>
                <w:color w:val="auto"/>
                <w:sz w:val="24"/>
                <w:szCs w:val="24"/>
                <w:highlight w:val="none"/>
              </w:rPr>
            </w:pPr>
            <w:r>
              <w:rPr>
                <w:rFonts w:hint="eastAsia" w:asciiTheme="majorEastAsia" w:hAnsiTheme="majorEastAsia" w:eastAsiaTheme="majorEastAsia" w:cstheme="majorEastAsia"/>
                <w:b/>
                <w:bCs/>
                <w:color w:val="auto"/>
                <w:sz w:val="24"/>
                <w:szCs w:val="24"/>
                <w:highlight w:val="none"/>
              </w:rPr>
              <w:t>（均为现有证照或材料，具体还需结合实际审核）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0" w:hRule="atLeast"/>
        </w:trPr>
        <w:tc>
          <w:tcPr>
            <w:tcW w:w="6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优抚群体类</w:t>
            </w: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烈士、因公牺牲军人、病故军人及现役军人的适龄子女</w:t>
            </w:r>
          </w:p>
        </w:tc>
        <w:tc>
          <w:tcPr>
            <w:tcW w:w="101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本人户口簿、监护人户口簿（直系亲属外的监护人还需提供委托监护的佐证材料，如公证书等）、实际居住地</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佐证材料（如房产证、租赁合同等）</w:t>
            </w: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县级及以上民政部门等部门发给遗属的《烈士证明书》、《军人因公牺牲证明书》或《军人病故证明书》等。</w:t>
            </w:r>
          </w:p>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现役军人的军人身份证件（如军官证、文职干部证或士兵证等）。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在穗消防部门工作的消防救援人员的适龄子女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由</w:t>
            </w:r>
            <w:r>
              <w:rPr>
                <w:rFonts w:hint="eastAsia" w:asciiTheme="majorEastAsia" w:hAnsiTheme="majorEastAsia" w:eastAsiaTheme="majorEastAsia" w:cstheme="majorEastAsia"/>
                <w:color w:val="auto"/>
                <w:sz w:val="24"/>
                <w:szCs w:val="24"/>
                <w:highlight w:val="none"/>
                <w:lang w:eastAsia="zh-CN"/>
              </w:rPr>
              <w:t>消防部门确认等</w:t>
            </w:r>
            <w:r>
              <w:rPr>
                <w:rFonts w:hint="eastAsia" w:asciiTheme="majorEastAsia" w:hAnsiTheme="majorEastAsia" w:eastAsiaTheme="majorEastAsia" w:cstheme="majorEastAsia"/>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73"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u w:val="single"/>
              </w:rPr>
            </w:pPr>
            <w:r>
              <w:rPr>
                <w:rFonts w:hint="eastAsia" w:asciiTheme="majorEastAsia" w:hAnsiTheme="majorEastAsia" w:eastAsiaTheme="majorEastAsia" w:cstheme="majorEastAsia"/>
                <w:color w:val="auto"/>
                <w:sz w:val="24"/>
                <w:szCs w:val="24"/>
                <w:highlight w:val="none"/>
              </w:rPr>
              <w:t>合法领养或家庭寄养的孤儿</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民政部门发的助养证或家庭寄养协议书、助养人的户口簿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5"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父母均长期患重病或失去监护子女能力的残疾人委托本市监护人照顾的适龄子女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监护人的广州市户口簿、委托监护佐证材料（如公证书，能对因适龄儿童父母均长期患重病或因残疾失去监护能力需委托监护作出说明最好）、《残疾人证》、疾病诊断书、病历或出院小结等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1" w:hRule="atLeast"/>
        </w:trPr>
        <w:tc>
          <w:tcPr>
            <w:tcW w:w="6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特殊行业类</w:t>
            </w: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父母均为从事地质勘探等长期野外工作，委托本市监护人照顾的适龄子女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监护人的广州市户口簿、委托监护佐证材料（如公证书）、父母的工作证件或有效劳动合同等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9"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殡葬工人的适龄子女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监护人的《广东省居住证》、工作证件或有效劳动合同等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60"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从事承担政府环卫作业工作服务连续两年及以上的环卫</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临时工适龄子女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监护人的《广东省居住证》、工作证件或有效劳动合同（现有劳动合同如不足连续两年则需提供过往合同）等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进藏干部职工子女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进藏干部职工房产证，监护人的工作证件、有效劳动合同或营业执照等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84" w:hRule="atLeast"/>
        </w:trPr>
        <w:tc>
          <w:tcPr>
            <w:tcW w:w="601"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人才类</w:t>
            </w: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按规定引进的博士、博士后、外国专家的适龄子女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监护人的工作证件、已有的相关引进文书等佐证材料、外国专家证件、相关学历证书或有效劳动合同等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2"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来穗工作的留学人员的</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4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市人力资源社会保障局发的《广州市留学人员优惠资格证》、监护人的工作证件、有效劳动合同或营业执照等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高层次人才子女（含海外）</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广州市人才工作领导小组办公室印发的《广州市高层次人才证书》、已有的省市人力资源保障部门或市委组织部函件或主管部门的文件资料等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“优粤卡”持有人未成年子女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监护人的“优粤卡”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5"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广州市人才绿卡持有人</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随迁子女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监护人的《广州市人才绿卡》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17" w:hRule="atLeast"/>
        </w:trPr>
        <w:tc>
          <w:tcPr>
            <w:tcW w:w="60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优秀异地务工人员子女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kern w:val="0"/>
                <w:sz w:val="24"/>
                <w:szCs w:val="24"/>
                <w:highlight w:val="none"/>
              </w:rPr>
            </w:pPr>
            <w:r>
              <w:rPr>
                <w:rFonts w:hint="eastAsia" w:asciiTheme="majorEastAsia" w:hAnsiTheme="majorEastAsia" w:eastAsiaTheme="majorEastAsia" w:cstheme="majorEastAsia"/>
                <w:color w:val="auto"/>
                <w:sz w:val="24"/>
                <w:szCs w:val="24"/>
                <w:highlight w:val="none"/>
              </w:rPr>
              <w:t>监护人所获得</w:t>
            </w:r>
            <w:r>
              <w:rPr>
                <w:rFonts w:hint="eastAsia" w:asciiTheme="majorEastAsia" w:hAnsiTheme="majorEastAsia" w:eastAsiaTheme="majorEastAsia" w:cstheme="majorEastAsia"/>
                <w:color w:val="auto"/>
                <w:kern w:val="0"/>
                <w:sz w:val="24"/>
                <w:szCs w:val="24"/>
                <w:highlight w:val="none"/>
              </w:rPr>
              <w:t>“广州市优秀异地务工技能人才”、“广州市优秀异地务工人员”或相应区政府授予优秀称号的佐证材料、监护人的《广东省居住证》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601" w:type="dxa"/>
            <w:vMerge w:val="restart"/>
            <w:tcBorders>
              <w:top w:val="single" w:color="auto" w:sz="4" w:space="0"/>
              <w:left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境外群体类</w:t>
            </w: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海外华侨华人子女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监护人的护照、身份证件、相应国永久居留证件、其他已有的能体现其华侨华人身份的材料（如中国户口簿、监护人出生证等）等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1" w:hRule="atLeast"/>
        </w:trPr>
        <w:tc>
          <w:tcPr>
            <w:tcW w:w="601" w:type="dxa"/>
            <w:vMerge w:val="continue"/>
            <w:tcBorders>
              <w:left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持《外国人永久居留身份证》的外籍人员随迁子女（含未成年的持证人本人）</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《外国人永久居留身份证》、子女出生证等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81" w:hRule="atLeast"/>
        </w:trPr>
        <w:tc>
          <w:tcPr>
            <w:tcW w:w="601" w:type="dxa"/>
            <w:vMerge w:val="continue"/>
            <w:tcBorders>
              <w:left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台胞子女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strike/>
                <w:color w:val="auto"/>
                <w:sz w:val="24"/>
                <w:szCs w:val="24"/>
                <w:highlight w:val="none"/>
              </w:rPr>
            </w:pPr>
            <w:r>
              <w:rPr>
                <w:rFonts w:hint="eastAsia" w:asciiTheme="majorEastAsia" w:hAnsiTheme="majorEastAsia" w:eastAsiaTheme="majorEastAsia" w:cstheme="majorEastAsia"/>
                <w:color w:val="auto"/>
                <w:sz w:val="24"/>
                <w:szCs w:val="24"/>
                <w:highlight w:val="none"/>
              </w:rPr>
              <w:t>父或母的《台湾居民来往大陆通行证》或《中华人民共和国台湾居民居住证》等适龄儿童出生证、《台湾居民来往大陆通行证》或《中华人民共和国台湾居民居住证》等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4" w:hRule="atLeast"/>
        </w:trPr>
        <w:tc>
          <w:tcPr>
            <w:tcW w:w="601" w:type="dxa"/>
            <w:vMerge w:val="continue"/>
            <w:tcBorders>
              <w:left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有突出贡献的港、澳</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人士的适龄子女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广州市荣誉市民证书、本人身份证、《港澳居民来往内地通行证》或《中华人民共和国港澳居民居住证》等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81" w:hRule="atLeast"/>
        </w:trPr>
        <w:tc>
          <w:tcPr>
            <w:tcW w:w="601" w:type="dxa"/>
            <w:vMerge w:val="continue"/>
            <w:tcBorders>
              <w:left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驻穗领事馆等外交</w:t>
            </w:r>
          </w:p>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人员的适龄子女</w:t>
            </w:r>
          </w:p>
        </w:tc>
        <w:tc>
          <w:tcPr>
            <w:tcW w:w="101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spacing w:line="300" w:lineRule="exact"/>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szCs w:val="24"/>
                <w:highlight w:val="none"/>
              </w:rPr>
              <w:t>监护人的工作证件、外交护照、已有的其他相关证照或市政府外办函件等。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46" w:hRule="atLeast"/>
        </w:trPr>
        <w:tc>
          <w:tcPr>
            <w:tcW w:w="601" w:type="dxa"/>
            <w:vMerge w:val="continue"/>
            <w:tcBorders>
              <w:left w:val="single" w:color="auto" w:sz="4" w:space="0"/>
              <w:bottom w:val="single" w:color="auto" w:sz="4" w:space="0"/>
              <w:right w:val="single" w:color="auto" w:sz="4" w:space="0"/>
            </w:tcBorders>
            <w:vAlign w:val="center"/>
          </w:tcPr>
          <w:p>
            <w:pPr>
              <w:widowControl/>
              <w:spacing w:line="300" w:lineRule="exact"/>
              <w:jc w:val="both"/>
              <w:rPr>
                <w:rFonts w:hint="eastAsia" w:asciiTheme="majorEastAsia" w:hAnsiTheme="majorEastAsia" w:eastAsiaTheme="majorEastAsia" w:cstheme="majorEastAsia"/>
                <w:color w:val="auto"/>
                <w:sz w:val="24"/>
                <w:szCs w:val="24"/>
                <w:highlight w:val="none"/>
              </w:rPr>
            </w:pPr>
          </w:p>
        </w:tc>
        <w:tc>
          <w:tcPr>
            <w:tcW w:w="2944"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ajorEastAsia" w:hAnsiTheme="majorEastAsia" w:eastAsiaTheme="majorEastAsia" w:cstheme="majorEastAsia"/>
                <w:color w:val="auto"/>
                <w:sz w:val="24"/>
                <w:highlight w:val="none"/>
              </w:rPr>
            </w:pPr>
          </w:p>
          <w:p>
            <w:pPr>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港澳居民子女</w:t>
            </w:r>
          </w:p>
        </w:tc>
        <w:tc>
          <w:tcPr>
            <w:tcW w:w="1014"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ajorEastAsia" w:hAnsiTheme="majorEastAsia" w:eastAsiaTheme="majorEastAsia" w:cstheme="majorEastAsia"/>
                <w:color w:val="auto"/>
                <w:sz w:val="24"/>
                <w:szCs w:val="24"/>
                <w:highlight w:val="none"/>
              </w:rPr>
            </w:pPr>
          </w:p>
        </w:tc>
        <w:tc>
          <w:tcPr>
            <w:tcW w:w="4681" w:type="dxa"/>
            <w:tcBorders>
              <w:top w:val="single" w:color="auto" w:sz="4" w:space="0"/>
              <w:left w:val="single" w:color="auto" w:sz="4" w:space="0"/>
              <w:bottom w:val="single" w:color="auto" w:sz="4" w:space="0"/>
              <w:right w:val="single" w:color="auto" w:sz="4" w:space="0"/>
            </w:tcBorders>
            <w:vAlign w:val="center"/>
          </w:tcPr>
          <w:p>
            <w:pPr>
              <w:jc w:val="both"/>
              <w:rPr>
                <w:rFonts w:hint="eastAsia" w:asciiTheme="majorEastAsia" w:hAnsiTheme="majorEastAsia" w:eastAsiaTheme="majorEastAsia" w:cstheme="majorEastAsia"/>
                <w:color w:val="auto"/>
                <w:sz w:val="24"/>
                <w:szCs w:val="24"/>
                <w:highlight w:val="none"/>
              </w:rPr>
            </w:pPr>
            <w:r>
              <w:rPr>
                <w:rFonts w:hint="eastAsia" w:asciiTheme="majorEastAsia" w:hAnsiTheme="majorEastAsia" w:eastAsiaTheme="majorEastAsia" w:cstheme="majorEastAsia"/>
                <w:color w:val="auto"/>
                <w:sz w:val="24"/>
                <w:highlight w:val="none"/>
              </w:rPr>
              <w:t>港澳居民和子女的《港澳居民来往大陆通行证》或《港澳居民居住证》，实际居住地佐证材料、合法稳定就业材料（营业执照或劳动合同）等</w:t>
            </w:r>
          </w:p>
        </w:tc>
      </w:tr>
    </w:tbl>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960" w:hanging="960" w:hangingChars="400"/>
        <w:jc w:val="left"/>
        <w:textAlignment w:val="auto"/>
        <w:outlineLvl w:val="9"/>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备注：1.政策性照顾学生是指符合上述有关条件的非广州市户籍适龄儿童少年</w:t>
      </w:r>
      <w:r>
        <w:rPr>
          <w:rFonts w:hint="eastAsia" w:ascii="宋体" w:hAnsi="宋体" w:cs="宋体"/>
          <w:color w:val="auto"/>
          <w:kern w:val="0"/>
          <w:sz w:val="24"/>
          <w:highlight w:val="none"/>
          <w:lang w:eastAsia="zh-CN"/>
        </w:rPr>
        <w: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105" w:leftChars="50" w:firstLine="600" w:firstLineChars="25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2.其他特殊情况由区以上教育行政部门根据有关政策确定。</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958" w:leftChars="342" w:hanging="240" w:hangingChars="100"/>
        <w:jc w:val="left"/>
        <w:textAlignment w:val="auto"/>
        <w:outlineLvl w:val="9"/>
        <w:rPr>
          <w:rFonts w:hint="eastAsia" w:ascii="宋体" w:hAnsi="宋体" w:cs="宋体"/>
          <w:color w:val="auto"/>
          <w:kern w:val="0"/>
          <w:sz w:val="24"/>
          <w:highlight w:val="none"/>
        </w:rPr>
      </w:pPr>
      <w:r>
        <w:rPr>
          <w:rFonts w:hint="eastAsia" w:ascii="宋体" w:hAnsi="宋体" w:cs="宋体"/>
          <w:color w:val="auto"/>
          <w:kern w:val="0"/>
          <w:sz w:val="24"/>
          <w:highlight w:val="none"/>
        </w:rPr>
        <w:t>3.因上级政策调整等导致政策性照顾学生对象发生变化时，由市教育行政部门另行补充发文。</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105" w:leftChars="50" w:firstLine="600" w:firstLineChars="250"/>
        <w:jc w:val="left"/>
        <w:textAlignment w:val="auto"/>
        <w:outlineLvl w:val="9"/>
        <w:rPr>
          <w:rFonts w:ascii="宋体" w:hAnsi="宋体" w:cs="宋体"/>
          <w:color w:val="auto"/>
          <w:kern w:val="0"/>
          <w:sz w:val="24"/>
          <w:highlight w:val="none"/>
        </w:rPr>
      </w:pP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.杜绝弄虚作假，家长（监护人）应该对审核材料的真伪性及其后果负责。</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958" w:leftChars="342" w:hanging="240" w:hangingChars="100"/>
        <w:jc w:val="left"/>
        <w:textAlignment w:val="auto"/>
        <w:outlineLvl w:val="9"/>
        <w:rPr>
          <w:rFonts w:hint="eastAsia" w:ascii="仿宋" w:hAnsi="仿宋" w:eastAsia="仿宋"/>
          <w:color w:val="auto"/>
          <w:sz w:val="32"/>
          <w:szCs w:val="32"/>
          <w:highlight w:val="none"/>
        </w:rPr>
      </w:pPr>
      <w:r>
        <w:rPr>
          <w:rFonts w:hint="eastAsia" w:ascii="宋体" w:hAnsi="宋体" w:cs="宋体"/>
          <w:color w:val="auto"/>
          <w:kern w:val="0"/>
          <w:sz w:val="24"/>
          <w:highlight w:val="none"/>
          <w:lang w:val="en-US" w:eastAsia="zh-CN"/>
        </w:rPr>
        <w:t>5.广州市义务教育阶段政策性照顾幼儿享有公办幼儿园电脑派位资格，录取情况以摇号情况为准。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23429F"/>
    <w:rsid w:val="0723429F"/>
    <w:rsid w:val="1D483C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2021-04-30T02:46:00Z</dcterms:created>
  <dc:creator>You’ll see</dc:creator>
  <cp:lastModifiedBy>tecamo</cp:lastModifiedBy>
  <dcterms:modified xsi:type="dcterms:W3CDTF">2021-04-30T10:26:21Z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ED7749440C81428D8D1499B634F50B8C</vt:lpwstr>
  </property>
</Properties>
</file>