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left"/>
        <w:rPr>
          <w:rFonts w:ascii="黑体" w:hAnsi="黑体" w:eastAsia="黑体"/>
          <w:snapToGrid w:val="0"/>
          <w:color w:val="auto"/>
          <w:kern w:val="0"/>
          <w:sz w:val="32"/>
          <w:szCs w:val="32"/>
        </w:rPr>
      </w:pPr>
      <w:r>
        <w:rPr>
          <w:rFonts w:ascii="黑体" w:hAnsi="黑体" w:eastAsia="黑体"/>
          <w:snapToGrid w:val="0"/>
          <w:color w:val="auto"/>
          <w:kern w:val="0"/>
          <w:sz w:val="32"/>
          <w:szCs w:val="32"/>
        </w:rPr>
        <w:t>附件2</w:t>
      </w:r>
    </w:p>
    <w:p>
      <w:pPr>
        <w:adjustRightInd w:val="0"/>
        <w:snapToGrid w:val="0"/>
        <w:spacing w:line="560" w:lineRule="exact"/>
        <w:jc w:val="left"/>
        <w:rPr>
          <w:rFonts w:eastAsia="黑体"/>
          <w:snapToGrid w:val="0"/>
          <w:color w:val="auto"/>
          <w:kern w:val="0"/>
          <w:sz w:val="32"/>
          <w:szCs w:val="32"/>
        </w:rPr>
      </w:pPr>
    </w:p>
    <w:p>
      <w:pPr>
        <w:adjustRightInd w:val="0"/>
        <w:snapToGrid w:val="0"/>
        <w:spacing w:line="560" w:lineRule="exact"/>
        <w:jc w:val="center"/>
        <w:rPr>
          <w:rFonts w:ascii="方正小标宋_GBK" w:eastAsia="方正小标宋_GBK"/>
          <w:snapToGrid w:val="0"/>
          <w:color w:val="auto"/>
          <w:kern w:val="0"/>
          <w:sz w:val="44"/>
          <w:szCs w:val="44"/>
        </w:rPr>
      </w:pPr>
      <w:r>
        <w:rPr>
          <w:rFonts w:hint="eastAsia" w:ascii="方正小标宋_GBK" w:eastAsia="方正小标宋_GBK"/>
          <w:snapToGrid w:val="0"/>
          <w:color w:val="auto"/>
          <w:kern w:val="0"/>
          <w:sz w:val="44"/>
          <w:szCs w:val="44"/>
        </w:rPr>
        <w:t>广州市义务教育阶段政策性照顾学生清单</w:t>
      </w:r>
    </w:p>
    <w:p>
      <w:pPr>
        <w:adjustRightInd w:val="0"/>
        <w:snapToGrid w:val="0"/>
        <w:spacing w:line="560" w:lineRule="exact"/>
        <w:rPr>
          <w:rFonts w:ascii="方正小标宋_GBK" w:eastAsia="方正小标宋_GBK"/>
          <w:snapToGrid w:val="0"/>
          <w:color w:val="auto"/>
          <w:kern w:val="0"/>
          <w:sz w:val="44"/>
          <w:szCs w:val="44"/>
        </w:rPr>
      </w:pPr>
    </w:p>
    <w:tbl>
      <w:tblPr>
        <w:tblStyle w:val="2"/>
        <w:tblW w:w="8727" w:type="dxa"/>
        <w:jc w:val="center"/>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91"/>
        <w:gridCol w:w="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blHeader/>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hAnsi="黑体" w:eastAsia="黑体"/>
                <w:snapToGrid w:val="0"/>
                <w:color w:val="auto"/>
                <w:kern w:val="0"/>
                <w:sz w:val="30"/>
                <w:szCs w:val="30"/>
              </w:rPr>
            </w:pPr>
            <w:r>
              <w:rPr>
                <w:rFonts w:ascii="黑体" w:hAnsi="黑体" w:eastAsia="黑体"/>
                <w:snapToGrid w:val="0"/>
                <w:color w:val="auto"/>
                <w:kern w:val="0"/>
                <w:sz w:val="30"/>
                <w:szCs w:val="30"/>
              </w:rPr>
              <w:t>序号</w:t>
            </w:r>
          </w:p>
        </w:tc>
        <w:tc>
          <w:tcPr>
            <w:tcW w:w="17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hAnsi="黑体" w:eastAsia="黑体"/>
                <w:snapToGrid w:val="0"/>
                <w:color w:val="auto"/>
                <w:kern w:val="0"/>
                <w:sz w:val="30"/>
                <w:szCs w:val="30"/>
              </w:rPr>
            </w:pPr>
            <w:r>
              <w:rPr>
                <w:rFonts w:ascii="黑体" w:hAnsi="黑体" w:eastAsia="黑体"/>
                <w:snapToGrid w:val="0"/>
                <w:color w:val="auto"/>
                <w:kern w:val="0"/>
                <w:sz w:val="30"/>
                <w:szCs w:val="30"/>
              </w:rPr>
              <w:t>类别</w:t>
            </w: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黑体" w:hAnsi="黑体" w:eastAsia="黑体"/>
                <w:snapToGrid w:val="0"/>
                <w:color w:val="auto"/>
                <w:kern w:val="0"/>
                <w:sz w:val="30"/>
                <w:szCs w:val="30"/>
              </w:rPr>
            </w:pPr>
            <w:r>
              <w:rPr>
                <w:rFonts w:ascii="黑体" w:hAnsi="黑体" w:eastAsia="黑体"/>
                <w:snapToGrid w:val="0"/>
                <w:color w:val="auto"/>
                <w:kern w:val="0"/>
                <w:sz w:val="30"/>
                <w:szCs w:val="30"/>
              </w:rPr>
              <w:t>对    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ascii="宋体" w:hAnsi="宋体"/>
                <w:snapToGrid w:val="0"/>
                <w:color w:val="auto"/>
                <w:kern w:val="0"/>
                <w:sz w:val="28"/>
                <w:szCs w:val="28"/>
              </w:rPr>
              <w:t>优抚群体类</w:t>
            </w: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烈士、因公牺牲军人、病故军人及现役军人的适龄子女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2</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在穗消防部门工作的消防救援人员的适龄子女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3</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合法领养或家庭寄养的孤儿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4</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父母均长期患重病或失去监护子女能力的残疾人委托本市监护人照顾的适龄子女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5</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ascii="宋体" w:hAnsi="宋体"/>
                <w:snapToGrid w:val="0"/>
                <w:color w:val="auto"/>
                <w:kern w:val="0"/>
                <w:sz w:val="28"/>
                <w:szCs w:val="28"/>
              </w:rPr>
              <w:t>特殊行业类</w:t>
            </w: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父母均为从事地质勘探等长期野外工作，委托本市监护人照顾的适龄子女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6</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殡葬工人的适龄子女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7</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从事承担政府环卫作业工作服务连续两年及以上的环卫临时工适龄子女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8</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进藏干部职工子女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5"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9</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ascii="宋体" w:hAnsi="宋体"/>
                <w:snapToGrid w:val="0"/>
                <w:color w:val="auto"/>
                <w:kern w:val="0"/>
                <w:sz w:val="28"/>
                <w:szCs w:val="28"/>
              </w:rPr>
              <w:t>人才类</w:t>
            </w: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按规定引进的博士、博士后、外国专家的适龄子女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10</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来穗工作的留学人员的适龄子女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11</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高层次人才子女（含海外）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12</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“优粤卡”持有人未成年子女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13</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广州市人才绿卡持有人随迁子女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7"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14</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优秀异地务工人员子女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15</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snapToGrid w:val="0"/>
                <w:color w:val="auto"/>
                <w:kern w:val="0"/>
                <w:sz w:val="28"/>
                <w:szCs w:val="28"/>
              </w:rPr>
            </w:pPr>
            <w:r>
              <w:rPr>
                <w:rFonts w:ascii="宋体" w:hAnsi="宋体"/>
                <w:snapToGrid w:val="0"/>
                <w:color w:val="auto"/>
                <w:kern w:val="0"/>
                <w:sz w:val="28"/>
                <w:szCs w:val="28"/>
              </w:rPr>
              <w:t>境外群体类</w:t>
            </w: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海外华侨华人子女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16</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持《外国人永久居留身份证》的外籍人员随迁子女（含未成年的持证人本人）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17</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台胞子女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18</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有突出贡献的港、澳人士的适龄子女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9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snapToGrid w:val="0"/>
                <w:color w:val="auto"/>
                <w:kern w:val="0"/>
                <w:sz w:val="28"/>
                <w:szCs w:val="28"/>
              </w:rPr>
            </w:pPr>
            <w:r>
              <w:rPr>
                <w:rFonts w:hint="eastAsia" w:ascii="宋体" w:hAnsi="宋体"/>
                <w:snapToGrid w:val="0"/>
                <w:color w:val="auto"/>
                <w:kern w:val="0"/>
                <w:sz w:val="28"/>
                <w:szCs w:val="28"/>
              </w:rPr>
              <w:t>19</w:t>
            </w: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left"/>
              <w:rPr>
                <w:rFonts w:ascii="宋体" w:hAnsi="宋体"/>
                <w:snapToGrid w:val="0"/>
                <w:color w:val="auto"/>
                <w:kern w:val="0"/>
                <w:sz w:val="28"/>
                <w:szCs w:val="28"/>
              </w:rPr>
            </w:pPr>
          </w:p>
        </w:tc>
        <w:tc>
          <w:tcPr>
            <w:tcW w:w="59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napToGrid w:val="0"/>
                <w:color w:val="auto"/>
                <w:kern w:val="0"/>
                <w:sz w:val="28"/>
                <w:szCs w:val="28"/>
              </w:rPr>
            </w:pPr>
            <w:r>
              <w:rPr>
                <w:rFonts w:ascii="宋体" w:hAnsi="宋体"/>
                <w:snapToGrid w:val="0"/>
                <w:color w:val="auto"/>
                <w:kern w:val="0"/>
                <w:sz w:val="28"/>
                <w:szCs w:val="28"/>
              </w:rPr>
              <w:t>驻穗领事馆等外交人员的适龄子女</w:t>
            </w:r>
          </w:p>
        </w:tc>
      </w:tr>
    </w:tbl>
    <w:p>
      <w:pPr>
        <w:adjustRightInd w:val="0"/>
        <w:snapToGrid w:val="0"/>
        <w:spacing w:line="560" w:lineRule="exact"/>
        <w:rPr>
          <w:rFonts w:eastAsia="楷体_GB2312"/>
          <w:snapToGrid w:val="0"/>
          <w:color w:val="auto"/>
          <w:kern w:val="0"/>
          <w:sz w:val="28"/>
          <w:szCs w:val="28"/>
        </w:rPr>
      </w:pPr>
      <w:r>
        <w:rPr>
          <w:rFonts w:eastAsia="楷体_GB2312"/>
          <w:snapToGrid w:val="0"/>
          <w:color w:val="auto"/>
          <w:kern w:val="0"/>
          <w:sz w:val="28"/>
          <w:szCs w:val="28"/>
        </w:rPr>
        <w:t>备注：</w:t>
      </w:r>
    </w:p>
    <w:p>
      <w:pPr>
        <w:adjustRightInd w:val="0"/>
        <w:snapToGrid w:val="0"/>
        <w:spacing w:line="560" w:lineRule="exact"/>
        <w:rPr>
          <w:rFonts w:eastAsia="楷体_GB2312"/>
          <w:snapToGrid w:val="0"/>
          <w:color w:val="auto"/>
          <w:kern w:val="0"/>
          <w:sz w:val="28"/>
          <w:szCs w:val="28"/>
        </w:rPr>
      </w:pPr>
      <w:r>
        <w:rPr>
          <w:rFonts w:eastAsia="楷体_GB2312"/>
          <w:snapToGrid w:val="0"/>
          <w:color w:val="auto"/>
          <w:kern w:val="0"/>
          <w:sz w:val="28"/>
          <w:szCs w:val="28"/>
        </w:rPr>
        <w:t>1.政策性照顾学生是指符合上述有关条件的非广州市户籍适龄儿童少年；经居住地所在区教育行政部门核实并公示的政策性照顾学生，由该区教育行政部门按免试就近入学原则安排到公办学校（含政府在民办学校购买的学位）就读。</w:t>
      </w:r>
    </w:p>
    <w:p>
      <w:pPr>
        <w:adjustRightInd w:val="0"/>
        <w:snapToGrid w:val="0"/>
        <w:spacing w:line="560" w:lineRule="exact"/>
        <w:rPr>
          <w:rFonts w:eastAsia="楷体_GB2312"/>
          <w:snapToGrid w:val="0"/>
          <w:color w:val="auto"/>
          <w:kern w:val="0"/>
          <w:sz w:val="28"/>
          <w:szCs w:val="28"/>
        </w:rPr>
      </w:pPr>
      <w:r>
        <w:rPr>
          <w:rFonts w:eastAsia="楷体_GB2312"/>
          <w:snapToGrid w:val="0"/>
          <w:color w:val="auto"/>
          <w:kern w:val="0"/>
          <w:sz w:val="28"/>
          <w:szCs w:val="28"/>
        </w:rPr>
        <w:t>2.其他特殊情况由区以上教育行政部门根据有关政策确定。</w:t>
      </w:r>
    </w:p>
    <w:p>
      <w:pPr>
        <w:adjustRightInd w:val="0"/>
        <w:snapToGrid w:val="0"/>
        <w:spacing w:line="560" w:lineRule="exact"/>
        <w:rPr>
          <w:rFonts w:eastAsia="楷体_GB2312"/>
          <w:snapToGrid w:val="0"/>
          <w:color w:val="auto"/>
          <w:kern w:val="0"/>
          <w:sz w:val="28"/>
          <w:szCs w:val="28"/>
        </w:rPr>
      </w:pPr>
      <w:r>
        <w:rPr>
          <w:rFonts w:eastAsia="楷体_GB2312"/>
          <w:snapToGrid w:val="0"/>
          <w:color w:val="auto"/>
          <w:kern w:val="0"/>
          <w:sz w:val="28"/>
          <w:szCs w:val="28"/>
        </w:rPr>
        <w:t>3.因上级政策调整等导致政策性照顾学生对象发生变化时，由市教育行政部门另行补充发文。</w:t>
      </w:r>
    </w:p>
    <w:p>
      <w:pPr>
        <w:widowControl/>
        <w:adjustRightInd w:val="0"/>
        <w:snapToGrid w:val="0"/>
        <w:spacing w:line="560" w:lineRule="exact"/>
        <w:jc w:val="left"/>
        <w:rPr>
          <w:rFonts w:hint="eastAsia" w:eastAsia="黑体"/>
          <w:snapToGrid w:val="0"/>
          <w:color w:val="auto"/>
          <w:kern w:val="0"/>
          <w:sz w:val="32"/>
          <w:szCs w:val="32"/>
        </w:rPr>
      </w:pPr>
    </w:p>
    <w:p>
      <w:pPr>
        <w:widowControl/>
        <w:adjustRightInd w:val="0"/>
        <w:snapToGrid w:val="0"/>
        <w:spacing w:line="560" w:lineRule="exact"/>
        <w:jc w:val="left"/>
        <w:rPr>
          <w:rFonts w:hint="eastAsia" w:eastAsia="黑体"/>
          <w:snapToGrid w:val="0"/>
          <w:color w:val="auto"/>
          <w:kern w:val="0"/>
          <w:sz w:val="32"/>
          <w:szCs w:val="32"/>
        </w:rPr>
      </w:pPr>
    </w:p>
    <w:p>
      <w:pPr>
        <w:widowControl/>
        <w:adjustRightInd w:val="0"/>
        <w:snapToGrid w:val="0"/>
        <w:spacing w:line="560" w:lineRule="exact"/>
        <w:jc w:val="left"/>
        <w:rPr>
          <w:rFonts w:hint="eastAsia" w:eastAsia="黑体"/>
          <w:snapToGrid w:val="0"/>
          <w:color w:val="auto"/>
          <w:kern w:val="0"/>
          <w:sz w:val="32"/>
          <w:szCs w:val="32"/>
        </w:rPr>
      </w:pPr>
    </w:p>
    <w:p>
      <w:pPr>
        <w:widowControl/>
        <w:adjustRightInd w:val="0"/>
        <w:snapToGrid w:val="0"/>
        <w:spacing w:line="560" w:lineRule="exact"/>
        <w:jc w:val="left"/>
        <w:rPr>
          <w:rFonts w:hint="eastAsia" w:eastAsia="黑体"/>
          <w:snapToGrid w:val="0"/>
          <w:color w:val="auto"/>
          <w:kern w:val="0"/>
          <w:sz w:val="32"/>
          <w:szCs w:val="32"/>
        </w:rPr>
      </w:pPr>
    </w:p>
    <w:p>
      <w:pPr>
        <w:widowControl/>
        <w:adjustRightInd w:val="0"/>
        <w:snapToGrid w:val="0"/>
        <w:spacing w:line="560" w:lineRule="exact"/>
        <w:jc w:val="left"/>
        <w:rPr>
          <w:rFonts w:hint="eastAsia" w:eastAsia="黑体"/>
          <w:snapToGrid w:val="0"/>
          <w:color w:val="auto"/>
          <w:kern w:val="0"/>
          <w:sz w:val="32"/>
          <w:szCs w:val="32"/>
        </w:rPr>
      </w:pPr>
    </w:p>
    <w:p>
      <w:pPr>
        <w:widowControl/>
        <w:adjustRightInd w:val="0"/>
        <w:snapToGrid w:val="0"/>
        <w:spacing w:line="560" w:lineRule="exact"/>
        <w:jc w:val="left"/>
        <w:rPr>
          <w:rFonts w:hint="eastAsia" w:eastAsia="黑体"/>
          <w:snapToGrid w:val="0"/>
          <w:color w:val="auto"/>
          <w:kern w:val="0"/>
          <w:sz w:val="32"/>
          <w:szCs w:val="32"/>
        </w:rPr>
      </w:pPr>
    </w:p>
    <w:p>
      <w:pPr>
        <w:widowControl/>
        <w:adjustRightInd w:val="0"/>
        <w:snapToGrid w:val="0"/>
        <w:spacing w:line="560" w:lineRule="exact"/>
        <w:jc w:val="left"/>
        <w:rPr>
          <w:rFonts w:hint="eastAsia" w:eastAsia="黑体"/>
          <w:snapToGrid w:val="0"/>
          <w:color w:val="auto"/>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F6983"/>
    <w:rsid w:val="7B7F6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2021-04-30T01:15:00Z</dcterms:created>
  <dc:creator>admin</dc:creator>
  <cp:lastModifiedBy>admin</cp:lastModifiedBy>
  <dcterms:modified xsi:type="dcterms:W3CDTF">2021-04-30T01:20:16Z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