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napToGrid w:val="0"/>
          <w:color w:val="auto"/>
          <w:kern w:val="0"/>
          <w:sz w:val="32"/>
          <w:szCs w:val="32"/>
        </w:rPr>
      </w:pPr>
      <w:r>
        <w:rPr>
          <w:rFonts w:ascii="黑体" w:hAnsi="黑体" w:eastAsia="黑体"/>
          <w:snapToGrid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color w:val="auto"/>
          <w:kern w:val="0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color w:val="auto"/>
          <w:kern w:val="0"/>
          <w:sz w:val="44"/>
          <w:szCs w:val="44"/>
        </w:rPr>
        <w:t>广州市义务教育学校招生负面清单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color w:val="auto"/>
          <w:kern w:val="0"/>
          <w:sz w:val="44"/>
          <w:szCs w:val="44"/>
        </w:rPr>
        <w:t>及处理措施</w:t>
      </w:r>
    </w:p>
    <w:tbl>
      <w:tblPr>
        <w:tblStyle w:val="2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040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  <w:t>违规行为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  <w:t>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采取考试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、面试、人机对话等</w:t>
            </w: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方式选拔学生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1.对学校及其校长、相关责任人进行通报批评并责令限期整改；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2.学校及其校长、相关责任人三年内不得列入各级各系统评优评先范畴；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3.公办学校违规的（含其参与举办的民办学校发生违规行为的），按干部管理权限对校长、相关责任人追究处理；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4.民办学校违规的，与年检结果挂钩，次年减少30%—50%的招生计划或者暂停招生，并建议解聘校长。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不按核准的办学层次、办学规模和招生计划进行招生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借助社会团体、培训机构等组织通过考试、竞赛、培训、测试排名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、夏（冬）令营、研学活动</w:t>
            </w: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等形式选拔学生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1.对学校及其校长、相关责任人进行通报批评并责令限期整改；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2.学校及其校长、相关责任人三年内不得列入各级各系统评优评先范畴；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3.公办学校（含其参与举办的民办学校发生违规行为的）违规的，按干部管理权限对校长、相关责任人追究处理；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4.民办学校违规的，与年检结果挂钩，次年减少30%—50%的招生计划。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参与社会团体、培训机构等组织举办的与升学相关的讲座、宣传等活动，或为其提供场地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民办中小学提前组织面向幼儿园大班幼儿、小学毕业生的招生宣讲，或变相遴选学生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不按照教育行政部门规定的时间进行招生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发布虚假的招生简章、广告等信息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1.对学校及其校长、相关责任人进行通报批评并责令限期整改；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2.学校及其校长、相关责任人三年内不得列入各级各系统评优评先范畴；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3.民办学校违规的，与年检结果挂钩，次年减少10%—30%的招生计划。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幼儿园向小学、小学向初中推荐生源或提供学生信息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以重点班、快慢班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、“国际部”“国际课程班”</w:t>
            </w: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等各种名义进行招生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以各类竞赛、考试证书等作为招生入学的依据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ind w:firstLine="562" w:firstLineChars="200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为社会团体、培训机构等组织举办任何学科竞赛、综合能力竞赛和考级等活动提供场地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未经批准组织学生参加包括“奥赛”在内的各种学科竞赛、综合能力测试、读书读报评奖和考级等竞赛活动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通过设置奖金等方式违规争抢生源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公办学校拒绝接收本服务区应接收的学生，或拒绝教育行政部门统筹安排的学生入学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对学校及其校长、相关责任人进行通报批评并责令限期整改。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利用等级学校进行招生宣传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其他干扰招生工作秩序、影响教育教学秩序的行为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视情节严重程度参照上述处理措施进行处理。</w:t>
            </w:r>
          </w:p>
        </w:tc>
      </w:tr>
    </w:tbl>
    <w:p>
      <w:pPr>
        <w:widowControl/>
        <w:tabs>
          <w:tab w:val="left" w:pos="1440"/>
        </w:tabs>
        <w:snapToGrid w:val="0"/>
        <w:ind w:right="80" w:firstLine="0" w:firstLineChars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C73EA"/>
    <w:rsid w:val="6BC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2021-04-30T01:16:00Z</dcterms:created>
  <dc:creator>admin</dc:creator>
  <cp:lastModifiedBy>admin</cp:lastModifiedBy>
  <dcterms:modified xsi:type="dcterms:W3CDTF">2021-04-30T01:20:28Z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