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404040"/>
          <w:spacing w:val="0"/>
          <w:kern w:val="0"/>
          <w:sz w:val="10"/>
          <w:szCs w:val="10"/>
          <w:shd w:val="clear" w:fill="FFFFFF"/>
          <w:lang w:val="en-US" w:eastAsia="zh-CN" w:bidi="ar"/>
        </w:rPr>
      </w:pPr>
      <w:bookmarkStart w:id="0" w:name="_Hlk528933888"/>
      <w:r>
        <w:rPr>
          <w:rFonts w:hint="eastAsia" w:ascii="仿宋" w:hAnsi="仿宋" w:eastAsia="仿宋" w:cs="仿宋"/>
          <w:b w:val="0"/>
          <w:bCs w:val="0"/>
          <w:i w:val="0"/>
          <w:caps w:val="0"/>
          <w:color w:val="404040"/>
          <w:spacing w:val="0"/>
          <w:kern w:val="0"/>
          <w:sz w:val="30"/>
          <w:szCs w:val="30"/>
          <w:shd w:val="clear" w:fill="FFFFFF"/>
          <w:lang w:val="en-US" w:eastAsia="zh-CN" w:bidi="ar"/>
        </w:rPr>
        <w:t>附件2：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404040"/>
          <w:spacing w:val="0"/>
          <w:kern w:val="0"/>
          <w:sz w:val="10"/>
          <w:szCs w:val="10"/>
          <w:shd w:val="clear" w:fill="FFFFFF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40404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404040"/>
          <w:spacing w:val="0"/>
          <w:kern w:val="0"/>
          <w:sz w:val="44"/>
          <w:szCs w:val="44"/>
          <w:shd w:val="clear" w:fill="FFFFFF"/>
          <w:lang w:val="en-US" w:eastAsia="zh-CN" w:bidi="ar"/>
        </w:rPr>
        <w:t>广州市花都区农业农村局2021年采购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404040"/>
          <w:spacing w:val="0"/>
          <w:kern w:val="0"/>
          <w:sz w:val="44"/>
          <w:szCs w:val="44"/>
          <w:shd w:val="clear" w:fill="FFFFFF"/>
          <w:lang w:val="en-US" w:eastAsia="zh-CN" w:bidi="ar"/>
        </w:rPr>
        <w:t>狂犬病疫苗项目评分方案</w:t>
      </w:r>
    </w:p>
    <w:p>
      <w:pPr>
        <w:ind w:firstLine="883" w:firstLineChars="200"/>
        <w:rPr>
          <w:rFonts w:ascii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一、评标小组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动物卫生监督所</w:t>
      </w:r>
      <w:r>
        <w:rPr>
          <w:rFonts w:hint="eastAsia" w:ascii="仿宋" w:hAnsi="仿宋" w:eastAsia="仿宋" w:cs="仿宋"/>
          <w:sz w:val="28"/>
          <w:szCs w:val="28"/>
        </w:rPr>
        <w:t>领导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、区动物卫生监督所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防疫检疫科负责人及业务承办人</w:t>
      </w:r>
      <w:r>
        <w:rPr>
          <w:rFonts w:hint="eastAsia" w:ascii="仿宋" w:hAnsi="仿宋" w:eastAsia="仿宋" w:cs="仿宋"/>
          <w:sz w:val="28"/>
          <w:szCs w:val="28"/>
        </w:rPr>
        <w:t>组成评标委员会成员，局机关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纪</w:t>
      </w:r>
      <w:r>
        <w:rPr>
          <w:rFonts w:hint="eastAsia" w:ascii="仿宋" w:hAnsi="仿宋" w:eastAsia="仿宋" w:cs="仿宋"/>
          <w:sz w:val="28"/>
          <w:szCs w:val="28"/>
        </w:rPr>
        <w:t>委派员担任项目监督员。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二、评审方式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召开现场评审会，对投标人的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报价材料</w:t>
      </w:r>
      <w:r>
        <w:rPr>
          <w:rFonts w:hint="eastAsia" w:ascii="仿宋" w:hAnsi="仿宋" w:eastAsia="仿宋" w:cs="仿宋"/>
          <w:sz w:val="28"/>
          <w:szCs w:val="28"/>
        </w:rPr>
        <w:t>进行现场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拆封</w:t>
      </w:r>
      <w:r>
        <w:rPr>
          <w:rFonts w:hint="eastAsia" w:ascii="仿宋" w:hAnsi="仿宋" w:eastAsia="仿宋" w:cs="仿宋"/>
          <w:sz w:val="28"/>
          <w:szCs w:val="28"/>
        </w:rPr>
        <w:t>、评审，确定中标单位。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三、评审项目及控制价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评审项目：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2021年狂犬病疫苗采购项目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控制价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不超过人民币35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四、评审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在询价评审中，评委对投标人进行符合性审查，同等条件下，选取报价最低的投标人。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、评审流程及标准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（一）初步评审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sz w:val="28"/>
          <w:szCs w:val="28"/>
        </w:rPr>
        <w:t>符合性进行评审（见表1）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表1：符合性评审表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5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4719"/>
        <w:gridCol w:w="840"/>
        <w:gridCol w:w="864"/>
        <w:gridCol w:w="88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65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资格审查内容</w:t>
            </w:r>
          </w:p>
        </w:tc>
        <w:tc>
          <w:tcPr>
            <w:tcW w:w="348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营业执照（或事业单位法人证书，或社会团体法人登记证书，或执业许可证）、组织机构代码证和税务登记证（或三证合一证明）复印件。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1.提供2020年至公告发出之日5个中国兽医药品监察所审核认可的连续批签发证明(复印件加盖公章）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狂犬病灭活疫苗免疫效果和疫苗效力检验报告：需提供中国人民解放军军事医学科学院军事兽医研究所出具的50个以上免疫中和抗体检测报告和2018年-2020年狂犬病灭活疫苗效力检验报告（复印件加盖供应商公章）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响应函（如果是法定代表人亲自签署响应文件，则提供法定代表人证明书；如不是法定代表人亲自签署响应文件，则须提供法定代表人证明书及法定代表人的授权书，须提交且签字有效、并加盖公章有效）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法定代表人证明书或法定代表人授权委托书、经办人复印件。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财务报表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参加政府采购活动前三年内，在经营活动中没有重大违法记录（可提供承诺函）。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  <w:t>具有履行合同所必需的设备和专业技术能力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打“★”号条款为实质性条款，投标人如有任何一条负偏离则导致投标无效，投标人是否符合相关要求，并提供相应试剂盒技术参数/说明书复印件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公司信用查询记录截图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产品临床使用评价【需提供：2020年至公告发布之日三家以上（含三家）用户单位（县级以上动物防疫机构）的使用评价（加盖使用单位公章，原件核查）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bookmarkStart w:id="2" w:name="_GoBack"/>
            <w:bookmarkEnd w:id="2"/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承诺书（加盖公章有效）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报价表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4719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以上符合性审查项目评审标准为“通过”和“不通过”，通过的打“Ｏ”，不通过的打“×”。如对符合性审查评审中有一项不能通过评审，则最终评审结果为“不通过”。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通过的进入报价评审环节。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评委对投标人进行符合性审查，同等条件下，选取报价最低的投标人。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表2：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报价评审表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272"/>
        <w:gridCol w:w="1908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投标人公司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90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结论：经过对上述x家公司的各项条件对比，xxxx公司在同类项目服务经验及服务费报价上较其他x家公司更有优势，更有利本项目服务的开展。因此，建议xxx公司为本项目的供应商。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选定供应商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按照符合性审查结果，</w:t>
      </w:r>
      <w:r>
        <w:rPr>
          <w:rFonts w:hint="eastAsia" w:ascii="仿宋" w:hAnsi="仿宋" w:eastAsia="仿宋" w:cs="仿宋"/>
          <w:sz w:val="28"/>
          <w:szCs w:val="28"/>
        </w:rPr>
        <w:t>按投标报价由低到高顺序排列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bookmarkStart w:id="1" w:name="_Hlk528938996"/>
      <w:r>
        <w:rPr>
          <w:rFonts w:hint="eastAsia" w:ascii="仿宋" w:hAnsi="仿宋" w:eastAsia="仿宋" w:cs="仿宋"/>
          <w:sz w:val="28"/>
          <w:szCs w:val="28"/>
        </w:rPr>
        <w:t>同等条件下，选取报价最低的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评审结果公示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评审结果将会在广州市花都区农业农村局网站进行公示。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2971A"/>
    <w:multiLevelType w:val="singleLevel"/>
    <w:tmpl w:val="DD82971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38"/>
    <w:rsid w:val="00092CE9"/>
    <w:rsid w:val="000E3D9E"/>
    <w:rsid w:val="000F1236"/>
    <w:rsid w:val="00107E59"/>
    <w:rsid w:val="001332A8"/>
    <w:rsid w:val="00184D8C"/>
    <w:rsid w:val="001B5505"/>
    <w:rsid w:val="001C3ED8"/>
    <w:rsid w:val="001D2BEC"/>
    <w:rsid w:val="00211540"/>
    <w:rsid w:val="00215BB2"/>
    <w:rsid w:val="00231044"/>
    <w:rsid w:val="0023544F"/>
    <w:rsid w:val="00235684"/>
    <w:rsid w:val="00265BD8"/>
    <w:rsid w:val="00266EB6"/>
    <w:rsid w:val="0028528E"/>
    <w:rsid w:val="002C31D5"/>
    <w:rsid w:val="002D4C80"/>
    <w:rsid w:val="00300F71"/>
    <w:rsid w:val="0031063F"/>
    <w:rsid w:val="00321591"/>
    <w:rsid w:val="003219E9"/>
    <w:rsid w:val="00324DD6"/>
    <w:rsid w:val="003326DA"/>
    <w:rsid w:val="003419B5"/>
    <w:rsid w:val="00351486"/>
    <w:rsid w:val="00364B5F"/>
    <w:rsid w:val="003721DE"/>
    <w:rsid w:val="003740E6"/>
    <w:rsid w:val="00374A95"/>
    <w:rsid w:val="003A0D67"/>
    <w:rsid w:val="003B537B"/>
    <w:rsid w:val="003C4990"/>
    <w:rsid w:val="003D4FF5"/>
    <w:rsid w:val="003D5A60"/>
    <w:rsid w:val="003E5501"/>
    <w:rsid w:val="0041206C"/>
    <w:rsid w:val="004211DE"/>
    <w:rsid w:val="00427D15"/>
    <w:rsid w:val="004327A8"/>
    <w:rsid w:val="00437207"/>
    <w:rsid w:val="00464E87"/>
    <w:rsid w:val="00484434"/>
    <w:rsid w:val="004A0B59"/>
    <w:rsid w:val="004B5D43"/>
    <w:rsid w:val="004C33F1"/>
    <w:rsid w:val="004D025A"/>
    <w:rsid w:val="00511B93"/>
    <w:rsid w:val="00536260"/>
    <w:rsid w:val="00582EFE"/>
    <w:rsid w:val="005949A3"/>
    <w:rsid w:val="005F6FE5"/>
    <w:rsid w:val="00643D23"/>
    <w:rsid w:val="006500D3"/>
    <w:rsid w:val="00654898"/>
    <w:rsid w:val="0068592D"/>
    <w:rsid w:val="006C6722"/>
    <w:rsid w:val="006D484D"/>
    <w:rsid w:val="006F4A87"/>
    <w:rsid w:val="00701F6E"/>
    <w:rsid w:val="00707AA3"/>
    <w:rsid w:val="007966F0"/>
    <w:rsid w:val="007A0D32"/>
    <w:rsid w:val="007D40EA"/>
    <w:rsid w:val="007F0137"/>
    <w:rsid w:val="007F671A"/>
    <w:rsid w:val="00815B52"/>
    <w:rsid w:val="008167B1"/>
    <w:rsid w:val="00875638"/>
    <w:rsid w:val="008B08DD"/>
    <w:rsid w:val="008C6ACF"/>
    <w:rsid w:val="008D3EFF"/>
    <w:rsid w:val="00906A16"/>
    <w:rsid w:val="00923B3D"/>
    <w:rsid w:val="00940B64"/>
    <w:rsid w:val="00952C3D"/>
    <w:rsid w:val="00961563"/>
    <w:rsid w:val="00963D53"/>
    <w:rsid w:val="00967C39"/>
    <w:rsid w:val="0099149E"/>
    <w:rsid w:val="009918E9"/>
    <w:rsid w:val="009B690F"/>
    <w:rsid w:val="00A01753"/>
    <w:rsid w:val="00A21A12"/>
    <w:rsid w:val="00A25AAF"/>
    <w:rsid w:val="00A32030"/>
    <w:rsid w:val="00A511A5"/>
    <w:rsid w:val="00A577F6"/>
    <w:rsid w:val="00A60068"/>
    <w:rsid w:val="00A715F5"/>
    <w:rsid w:val="00A8255E"/>
    <w:rsid w:val="00A86ABB"/>
    <w:rsid w:val="00AA2D74"/>
    <w:rsid w:val="00AA5024"/>
    <w:rsid w:val="00AE2C7D"/>
    <w:rsid w:val="00AF1672"/>
    <w:rsid w:val="00B24A18"/>
    <w:rsid w:val="00B273BD"/>
    <w:rsid w:val="00B632D1"/>
    <w:rsid w:val="00B807D9"/>
    <w:rsid w:val="00B811C9"/>
    <w:rsid w:val="00BC1133"/>
    <w:rsid w:val="00BF18B8"/>
    <w:rsid w:val="00C168C1"/>
    <w:rsid w:val="00C21A2A"/>
    <w:rsid w:val="00C22A1F"/>
    <w:rsid w:val="00C264FD"/>
    <w:rsid w:val="00C94A57"/>
    <w:rsid w:val="00C96B47"/>
    <w:rsid w:val="00C97A81"/>
    <w:rsid w:val="00CB4A4E"/>
    <w:rsid w:val="00CC7BA2"/>
    <w:rsid w:val="00CD2A4D"/>
    <w:rsid w:val="00CD4A35"/>
    <w:rsid w:val="00CF449D"/>
    <w:rsid w:val="00D07DBD"/>
    <w:rsid w:val="00D16070"/>
    <w:rsid w:val="00D675D0"/>
    <w:rsid w:val="00D76FA6"/>
    <w:rsid w:val="00D822E6"/>
    <w:rsid w:val="00D863DE"/>
    <w:rsid w:val="00DA6600"/>
    <w:rsid w:val="00DC6806"/>
    <w:rsid w:val="00E07BF4"/>
    <w:rsid w:val="00E87B43"/>
    <w:rsid w:val="00E94BEC"/>
    <w:rsid w:val="00EA02B9"/>
    <w:rsid w:val="00EB6889"/>
    <w:rsid w:val="00EC19DC"/>
    <w:rsid w:val="00EC392F"/>
    <w:rsid w:val="00EC5C88"/>
    <w:rsid w:val="00EE20A4"/>
    <w:rsid w:val="00F3745A"/>
    <w:rsid w:val="00F450E5"/>
    <w:rsid w:val="00F546E3"/>
    <w:rsid w:val="00F73B97"/>
    <w:rsid w:val="00F77588"/>
    <w:rsid w:val="00F9122E"/>
    <w:rsid w:val="00FA47B5"/>
    <w:rsid w:val="00FD3060"/>
    <w:rsid w:val="00FE62E2"/>
    <w:rsid w:val="00FF1E4F"/>
    <w:rsid w:val="01F50043"/>
    <w:rsid w:val="03742BB2"/>
    <w:rsid w:val="03F82848"/>
    <w:rsid w:val="04DC7DA2"/>
    <w:rsid w:val="14C66B32"/>
    <w:rsid w:val="14E1472B"/>
    <w:rsid w:val="163343D7"/>
    <w:rsid w:val="18507BCC"/>
    <w:rsid w:val="1BA231DE"/>
    <w:rsid w:val="1C186A2A"/>
    <w:rsid w:val="30D41EE0"/>
    <w:rsid w:val="316B28D3"/>
    <w:rsid w:val="32A265DB"/>
    <w:rsid w:val="335B4BC5"/>
    <w:rsid w:val="33E41CA4"/>
    <w:rsid w:val="354A2041"/>
    <w:rsid w:val="39420C9A"/>
    <w:rsid w:val="3C387ACF"/>
    <w:rsid w:val="3CF10966"/>
    <w:rsid w:val="3EA8612D"/>
    <w:rsid w:val="40E11007"/>
    <w:rsid w:val="48577C8E"/>
    <w:rsid w:val="48765219"/>
    <w:rsid w:val="4BE514F3"/>
    <w:rsid w:val="4CBC34E6"/>
    <w:rsid w:val="5039118C"/>
    <w:rsid w:val="52136F47"/>
    <w:rsid w:val="54E25002"/>
    <w:rsid w:val="5C6F3B2D"/>
    <w:rsid w:val="62A22585"/>
    <w:rsid w:val="649220B0"/>
    <w:rsid w:val="66696571"/>
    <w:rsid w:val="6B307B69"/>
    <w:rsid w:val="6B8A4DA2"/>
    <w:rsid w:val="71286FBE"/>
    <w:rsid w:val="7748458E"/>
    <w:rsid w:val="784312FA"/>
    <w:rsid w:val="790439F2"/>
    <w:rsid w:val="7BF514DC"/>
    <w:rsid w:val="7C1620AD"/>
    <w:rsid w:val="7F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Times New Roman"/>
      <w:szCs w:val="2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locked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qFormat/>
    <w:uiPriority w:val="0"/>
    <w:rPr>
      <w:rFonts w:ascii="宋体" w:hAnsi="Courier New"/>
      <w:kern w:val="2"/>
      <w:sz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31FEB-DB2E-4547-AC37-D6C123BC55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227</Words>
  <Characters>1294</Characters>
  <Lines>10</Lines>
  <Paragraphs>3</Paragraphs>
  <TotalTime>11</TotalTime>
  <ScaleCrop>false</ScaleCrop>
  <LinksUpToDate>false</LinksUpToDate>
  <CharactersWithSpaces>1518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2018-11-02T06:29:00Z</dcterms:created>
  <dc:creator>admin</dc:creator>
  <cp:lastModifiedBy>Administrator</cp:lastModifiedBy>
  <cp:lastPrinted>2018-06-11T01:36:00Z</cp:lastPrinted>
  <dcterms:modified xsi:type="dcterms:W3CDTF">2021-10-13T01:43:24Z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