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用户需求书</w:t>
      </w:r>
    </w:p>
    <w:p>
      <w:pPr>
        <w:adjustRightInd w:val="0"/>
        <w:snapToGrid w:val="0"/>
        <w:spacing w:line="360" w:lineRule="auto"/>
        <w:ind w:left="517" w:right="315" w:rightChars="150" w:hanging="517" w:hangingChars="245"/>
        <w:rPr>
          <w:rFonts w:ascii="宋体"/>
          <w:b/>
          <w:bCs/>
          <w:szCs w:val="20"/>
        </w:rPr>
      </w:pPr>
      <w:r>
        <w:rPr>
          <w:rFonts w:hint="eastAsia" w:ascii="宋体"/>
          <w:b/>
          <w:bCs/>
          <w:szCs w:val="20"/>
        </w:rPr>
        <w:t>说明：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/>
          <w:b/>
          <w:bCs/>
          <w:szCs w:val="20"/>
        </w:rPr>
      </w:pPr>
      <w:r>
        <w:rPr>
          <w:rFonts w:hint="eastAsia" w:ascii="宋体"/>
          <w:b/>
          <w:bCs/>
          <w:szCs w:val="20"/>
        </w:rPr>
        <w:t xml:space="preserve">投标人须对本项目为单位的服务进行整体响应，任何只对其中一部分内容进行的响应都被视为无效响应。 </w:t>
      </w:r>
    </w:p>
    <w:tbl>
      <w:tblPr>
        <w:tblStyle w:val="4"/>
        <w:tblW w:w="85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926"/>
        <w:gridCol w:w="25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61" w:hRule="atLeast"/>
          <w:jc w:val="center"/>
        </w:trPr>
        <w:tc>
          <w:tcPr>
            <w:tcW w:w="3119" w:type="dxa"/>
            <w:shd w:val="clear" w:color="auto" w:fill="EEECE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采购内容</w:t>
            </w:r>
          </w:p>
        </w:tc>
        <w:tc>
          <w:tcPr>
            <w:tcW w:w="2926" w:type="dxa"/>
            <w:shd w:val="clear" w:color="auto" w:fill="EEECE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完成期</w:t>
            </w:r>
          </w:p>
        </w:tc>
        <w:tc>
          <w:tcPr>
            <w:tcW w:w="2541" w:type="dxa"/>
            <w:shd w:val="clear" w:color="auto" w:fill="EEECE1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最高限价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/>
                <w:bCs/>
                <w:szCs w:val="21"/>
              </w:rPr>
              <w:t>广州市花都区</w:t>
            </w:r>
            <w:r>
              <w:rPr>
                <w:rFonts w:hint="eastAsia" w:ascii="宋体"/>
                <w:bCs/>
                <w:szCs w:val="21"/>
                <w:lang w:eastAsia="zh-CN"/>
              </w:rPr>
              <w:t>花东镇侨文化中心</w:t>
            </w:r>
            <w:r>
              <w:rPr>
                <w:rFonts w:hint="eastAsia" w:ascii="宋体"/>
                <w:bCs/>
                <w:color w:val="auto"/>
                <w:szCs w:val="21"/>
                <w:lang w:eastAsia="zh-CN"/>
              </w:rPr>
              <w:t>铸牢中华民族共同体意识文化</w:t>
            </w:r>
            <w:r>
              <w:rPr>
                <w:rFonts w:hint="eastAsia" w:ascii="宋体"/>
                <w:bCs/>
                <w:color w:val="auto"/>
                <w:szCs w:val="21"/>
              </w:rPr>
              <w:t>氛围提升设计</w:t>
            </w:r>
            <w:r>
              <w:rPr>
                <w:rFonts w:hint="eastAsia" w:ascii="宋体"/>
                <w:bCs/>
                <w:color w:val="auto"/>
                <w:szCs w:val="21"/>
                <w:lang w:eastAsia="zh-CN"/>
              </w:rPr>
              <w:t>布展</w:t>
            </w:r>
          </w:p>
        </w:tc>
        <w:tc>
          <w:tcPr>
            <w:tcW w:w="2926" w:type="dxa"/>
            <w:vAlign w:val="center"/>
          </w:tcPr>
          <w:p>
            <w:pPr>
              <w:pStyle w:val="6"/>
              <w:spacing w:line="240" w:lineRule="auto"/>
              <w:ind w:firstLine="120"/>
              <w:rPr>
                <w:rFonts w:ascii="宋体" w:hAnsi="宋体"/>
                <w:snapToGrid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napToGrid/>
                <w:spacing w:val="0"/>
                <w:kern w:val="2"/>
                <w:sz w:val="21"/>
                <w:szCs w:val="21"/>
              </w:rPr>
              <w:t>自合同签定之日起20天内完成并交付</w:t>
            </w:r>
          </w:p>
        </w:tc>
        <w:tc>
          <w:tcPr>
            <w:tcW w:w="2541" w:type="dxa"/>
            <w:vAlign w:val="center"/>
          </w:tcPr>
          <w:p>
            <w:pPr>
              <w:pStyle w:val="6"/>
              <w:spacing w:line="440" w:lineRule="exact"/>
              <w:ind w:firstLine="120"/>
              <w:rPr>
                <w:rFonts w:ascii="宋体" w:hAnsi="宋体"/>
                <w:snapToGrid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napToGrid/>
                <w:spacing w:val="0"/>
                <w:kern w:val="2"/>
                <w:sz w:val="21"/>
                <w:szCs w:val="21"/>
              </w:rPr>
              <w:t>人民币</w:t>
            </w:r>
            <w:r>
              <w:rPr>
                <w:rFonts w:hint="eastAsia" w:ascii="宋体" w:hAnsi="宋体"/>
                <w:snapToGrid/>
                <w:spacing w:val="0"/>
                <w:kern w:val="2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napToGrid/>
                <w:spacing w:val="0"/>
                <w:kern w:val="2"/>
                <w:sz w:val="21"/>
                <w:szCs w:val="21"/>
              </w:rPr>
              <w:t>万元</w:t>
            </w:r>
          </w:p>
        </w:tc>
      </w:tr>
    </w:tbl>
    <w:p>
      <w:pPr>
        <w:pStyle w:val="3"/>
        <w:numPr>
          <w:ilvl w:val="0"/>
          <w:numId w:val="2"/>
        </w:numPr>
        <w:tabs>
          <w:tab w:val="left" w:pos="540"/>
        </w:tabs>
        <w:autoSpaceDE/>
        <w:autoSpaceDN/>
        <w:snapToGrid w:val="0"/>
        <w:spacing w:line="360" w:lineRule="auto"/>
        <w:jc w:val="both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项目概况</w:t>
      </w:r>
    </w:p>
    <w:p>
      <w:pPr>
        <w:spacing w:line="360" w:lineRule="auto"/>
        <w:rPr>
          <w:rFonts w:cs="宋体" w:asciiTheme="minorEastAsia" w:hAnsiTheme="minorEastAsia" w:eastAsiaTheme="minorEastAsia"/>
          <w:color w:val="auto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1.</w:t>
      </w:r>
      <w:r>
        <w:rPr>
          <w:rFonts w:hint="eastAsia" w:cs="宋体" w:asciiTheme="minorEastAsia" w:hAnsiTheme="minorEastAsia" w:eastAsiaTheme="minorEastAsia"/>
          <w:color w:val="auto"/>
          <w:szCs w:val="21"/>
        </w:rPr>
        <w:t>本次招标范围为：</w:t>
      </w:r>
      <w:r>
        <w:rPr>
          <w:rFonts w:hint="eastAsia" w:ascii="宋体"/>
          <w:bCs/>
          <w:color w:val="auto"/>
          <w:szCs w:val="21"/>
        </w:rPr>
        <w:t>广州市花都区</w:t>
      </w:r>
      <w:r>
        <w:rPr>
          <w:rFonts w:hint="eastAsia" w:ascii="宋体"/>
          <w:bCs/>
          <w:color w:val="auto"/>
          <w:szCs w:val="21"/>
          <w:lang w:eastAsia="zh-CN"/>
        </w:rPr>
        <w:t>花东镇侨文化中心铸牢中华民族共同体意识</w:t>
      </w:r>
      <w:r>
        <w:rPr>
          <w:rFonts w:hint="eastAsia" w:ascii="宋体"/>
          <w:bCs/>
          <w:color w:val="auto"/>
          <w:szCs w:val="21"/>
        </w:rPr>
        <w:t>文化氛围提升设计</w:t>
      </w:r>
      <w:r>
        <w:rPr>
          <w:rFonts w:hint="eastAsia" w:ascii="宋体"/>
          <w:bCs/>
          <w:color w:val="auto"/>
          <w:szCs w:val="21"/>
          <w:lang w:eastAsia="zh-CN"/>
        </w:rPr>
        <w:t>布展，包含对项目的设计、广告制作、安装等</w:t>
      </w:r>
      <w:r>
        <w:rPr>
          <w:rFonts w:hint="eastAsia" w:cs="宋体" w:asciiTheme="minorEastAsia" w:hAnsiTheme="minorEastAsia" w:eastAsiaTheme="minorEastAsia"/>
          <w:color w:val="auto"/>
          <w:szCs w:val="21"/>
        </w:rPr>
        <w:t>。</w:t>
      </w:r>
    </w:p>
    <w:p>
      <w:pPr>
        <w:spacing w:line="360" w:lineRule="auto"/>
        <w:rPr>
          <w:rFonts w:hint="eastAsia" w:cs="宋体" w:asciiTheme="minorEastAsia" w:hAnsiTheme="minorEastAsia" w:eastAsiaTheme="minorEastAsia"/>
          <w:color w:val="auto"/>
          <w:szCs w:val="21"/>
          <w:lang w:eastAsia="zh-CN"/>
        </w:rPr>
      </w:pPr>
      <w:r>
        <w:rPr>
          <w:rFonts w:hint="eastAsia" w:cs="宋体" w:asciiTheme="minorEastAsia" w:hAnsiTheme="minorEastAsia" w:eastAsiaTheme="minorEastAsia"/>
          <w:color w:val="auto"/>
          <w:szCs w:val="21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color w:val="auto"/>
          <w:szCs w:val="21"/>
        </w:rPr>
        <w:t>.项目地点</w:t>
      </w:r>
      <w:r>
        <w:rPr>
          <w:rFonts w:hint="eastAsia" w:cs="宋体" w:asciiTheme="minorEastAsia" w:hAnsiTheme="minorEastAsia" w:eastAsiaTheme="minorEastAsia"/>
          <w:color w:val="auto"/>
          <w:szCs w:val="21"/>
          <w:lang w:eastAsia="zh-CN"/>
        </w:rPr>
        <w:t>：</w:t>
      </w:r>
      <w:r>
        <w:rPr>
          <w:rFonts w:hint="eastAsia" w:cs="宋体" w:asciiTheme="minorEastAsia" w:hAnsiTheme="minorEastAsia" w:eastAsiaTheme="minorEastAsia"/>
          <w:color w:val="auto"/>
          <w:szCs w:val="21"/>
        </w:rPr>
        <w:t>位于广州市花都区花东镇</w:t>
      </w:r>
      <w:r>
        <w:rPr>
          <w:rFonts w:hint="eastAsia" w:cs="宋体" w:asciiTheme="minorEastAsia" w:hAnsiTheme="minorEastAsia" w:eastAsiaTheme="minorEastAsia"/>
          <w:color w:val="auto"/>
          <w:szCs w:val="21"/>
          <w:lang w:eastAsia="zh-CN"/>
        </w:rPr>
        <w:t>。</w:t>
      </w:r>
    </w:p>
    <w:p>
      <w:pPr>
        <w:spacing w:line="360" w:lineRule="auto"/>
        <w:rPr>
          <w:rFonts w:hint="default" w:cs="宋体" w:asciiTheme="minorEastAsia" w:hAnsiTheme="minorEastAsia" w:eastAsiaTheme="minorEastAsia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zCs w:val="21"/>
          <w:lang w:val="en-US" w:eastAsia="zh-CN"/>
        </w:rPr>
        <w:t>3.项目目标：将广州市花都区花东镇侨文化中心打</w:t>
      </w:r>
      <w:r>
        <w:rPr>
          <w:rFonts w:hint="eastAsia" w:cs="宋体" w:asciiTheme="minorEastAsia" w:hAnsiTheme="minorEastAsia" w:eastAsiaTheme="minorEastAsia"/>
          <w:szCs w:val="21"/>
          <w:lang w:val="en-US" w:eastAsia="zh-CN"/>
        </w:rPr>
        <w:t>造成花都区民族工作的亮点，促进侨乡文化建设。</w:t>
      </w:r>
    </w:p>
    <w:p>
      <w:pPr>
        <w:pStyle w:val="3"/>
        <w:numPr>
          <w:ilvl w:val="0"/>
          <w:numId w:val="2"/>
        </w:numPr>
        <w:tabs>
          <w:tab w:val="left" w:pos="540"/>
        </w:tabs>
        <w:autoSpaceDE/>
        <w:autoSpaceDN/>
        <w:snapToGrid w:val="0"/>
        <w:spacing w:line="360" w:lineRule="auto"/>
        <w:jc w:val="both"/>
        <w:rPr>
          <w:rFonts w:cs="宋体" w:asciiTheme="minorEastAsia" w:hAnsiTheme="minorEastAsia"/>
          <w:b/>
          <w:szCs w:val="21"/>
        </w:rPr>
      </w:pPr>
      <w:r>
        <w:rPr>
          <w:rFonts w:hint="eastAsia" w:cs="宋体" w:asciiTheme="minorEastAsia" w:hAnsiTheme="minorEastAsia"/>
          <w:b/>
          <w:szCs w:val="21"/>
        </w:rPr>
        <w:t>具体内容</w:t>
      </w:r>
    </w:p>
    <w:tbl>
      <w:tblPr>
        <w:tblStyle w:val="4"/>
        <w:tblW w:w="8118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076"/>
        <w:gridCol w:w="1121"/>
        <w:gridCol w:w="4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项目内容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数量</w:t>
            </w:r>
          </w:p>
        </w:tc>
        <w:tc>
          <w:tcPr>
            <w:tcW w:w="40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8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民族团结文化墙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1项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材质：PVC+喷绘+亚克力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尺寸：L320*H180cm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上墙制度牌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5个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材质：PVC+喷绘+亚克力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尺寸：L70*H130cm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56个民族文化墙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1项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材质：PVC雕刻+亚克力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 L330*H116cm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0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活动风采文化墙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1项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材质：PVC雕刻+亚克力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尺寸：L350*H125cm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文化氛围油画布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1项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材质：油画布喷绘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尺寸：L360*H150cm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屏风隔墙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1项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材质：铝方通+木板+喷漆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尺寸：L3360*H330cm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59" w:type="dxa"/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尺寸：H100*W40*L70cm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上墙文化1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1项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材质：PVC雕刻+亚克力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尺寸：L80*H170cm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隐形门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尺寸：L96*H210cm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定制墙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展示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柜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1项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材质：实木颗粒板+饰面板+灯带+金属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尺寸：L550*H300cm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上墙文化2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1项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材质：PVC雕刻+亚克力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尺寸：L260*H100cm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窗户花雕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材质：实木雕刻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尺寸：L410*H90cm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绿植盆摘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2盆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根据现场及设计案确定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户外宣传栏海报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材质：背胶写真+设计+运输安装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尺寸：L100*H120cm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玻璃贴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材质：单孔透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尺寸：L130*H230cm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花东镇民族之家牌匾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材质：不锈钢丝印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尺寸：L40*H30cm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书架文化氛围1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材质：PVC喷绘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尺寸：L44*H70cm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8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书架文化氛围2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材质：PVC喷绘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尺寸：L30*H80cm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阅读墙1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1项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材质：油画布喷绘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尺寸：L400*H240cm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阅读墙2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1项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材质：油画布喷绘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尺寸：L243*H160cm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安静标志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材质：PVC喷绘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尺寸：L120*H30cm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提示牌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材质：pvc+喷绘+制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尺寸：L50*H80cm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背景墙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1项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材质：pvc雕刻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尺寸：L70*H130cm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活动风采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尺寸：L40* H120cm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墙面美观提升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根据现场及设计案确定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07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民族阁招牌</w:t>
            </w:r>
          </w:p>
        </w:tc>
        <w:tc>
          <w:tcPr>
            <w:tcW w:w="11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根据现场需要设计</w:t>
            </w:r>
          </w:p>
        </w:tc>
      </w:tr>
    </w:tbl>
    <w:p>
      <w:pPr>
        <w:pStyle w:val="3"/>
        <w:numPr>
          <w:ilvl w:val="0"/>
          <w:numId w:val="2"/>
        </w:numPr>
        <w:tabs>
          <w:tab w:val="left" w:pos="540"/>
        </w:tabs>
        <w:autoSpaceDE/>
        <w:autoSpaceDN/>
        <w:snapToGrid w:val="0"/>
        <w:spacing w:line="276" w:lineRule="auto"/>
        <w:jc w:val="both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  <w:lang w:eastAsia="zh-CN"/>
        </w:rPr>
        <w:t>设计</w:t>
      </w:r>
      <w:r>
        <w:rPr>
          <w:rFonts w:hint="eastAsia" w:asciiTheme="minorEastAsia" w:hAnsiTheme="minorEastAsia"/>
          <w:b/>
          <w:bCs/>
          <w:szCs w:val="21"/>
        </w:rPr>
        <w:t>要求</w:t>
      </w:r>
    </w:p>
    <w:p>
      <w:pPr>
        <w:numPr>
          <w:ilvl w:val="0"/>
          <w:numId w:val="3"/>
        </w:num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设计要重点突出，各区域之间要过渡自然，并采取多途径措施（如隔音措施、标示系统、参观人流等）减少不同人流冲突等方面的相互干扰。布局应满足国家相关的节能、环保和消防的要求，并充分考虑建筑设计的疏散和消防通道。</w:t>
      </w:r>
    </w:p>
    <w:p>
      <w:pPr>
        <w:numPr>
          <w:ilvl w:val="0"/>
          <w:numId w:val="3"/>
        </w:num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应有主次层次，充分考虑不同人群需求。</w:t>
      </w:r>
    </w:p>
    <w:p>
      <w:pPr>
        <w:numPr>
          <w:ilvl w:val="0"/>
          <w:numId w:val="3"/>
        </w:num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综合招标人的需求提出解决方案。</w:t>
      </w:r>
    </w:p>
    <w:p>
      <w:pPr>
        <w:numPr>
          <w:ilvl w:val="0"/>
          <w:numId w:val="3"/>
        </w:num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综合考虑人性化设计、无障碍设计及其它必需配套设置的空间。</w:t>
      </w:r>
    </w:p>
    <w:p>
      <w:pPr>
        <w:pStyle w:val="3"/>
        <w:numPr>
          <w:ilvl w:val="0"/>
          <w:numId w:val="2"/>
        </w:numPr>
        <w:tabs>
          <w:tab w:val="left" w:pos="540"/>
        </w:tabs>
        <w:autoSpaceDE/>
        <w:autoSpaceDN/>
        <w:snapToGrid w:val="0"/>
        <w:spacing w:line="276" w:lineRule="auto"/>
        <w:jc w:val="both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验收标准</w:t>
      </w:r>
      <w:r>
        <w:rPr>
          <w:rFonts w:hint="eastAsia" w:asciiTheme="minorEastAsia" w:hAnsiTheme="minorEastAsia"/>
          <w:b/>
          <w:bCs/>
          <w:szCs w:val="21"/>
          <w:lang w:eastAsia="zh-CN"/>
        </w:rPr>
        <w:t>及质量保修要求</w:t>
      </w:r>
    </w:p>
    <w:p>
      <w:pPr>
        <w:numPr>
          <w:ilvl w:val="0"/>
          <w:numId w:val="4"/>
        </w:num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本项目质量目标为一次性通过验收合格，中标人须编制详细的制作方案，详细叙述关键部位的质量保证措施。</w:t>
      </w:r>
    </w:p>
    <w:p>
      <w:pPr>
        <w:numPr>
          <w:ilvl w:val="0"/>
          <w:numId w:val="4"/>
        </w:num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中标人须无条件接受招标人及质量监督管理部门的质量检查和管理。</w:t>
      </w:r>
    </w:p>
    <w:p>
      <w:pPr>
        <w:numPr>
          <w:ilvl w:val="0"/>
          <w:numId w:val="4"/>
        </w:num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中标人的所有方案须经招标人确认后方可实施。</w:t>
      </w:r>
    </w:p>
    <w:p>
      <w:pPr>
        <w:numPr>
          <w:ilvl w:val="0"/>
          <w:numId w:val="4"/>
        </w:num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中标人须得到招标人及相关部门会审合格后的制作方案，方可进入下一步的布置。</w:t>
      </w:r>
    </w:p>
    <w:p>
      <w:pPr>
        <w:numPr>
          <w:ilvl w:val="0"/>
          <w:numId w:val="4"/>
        </w:num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中标人制作完成的文化氛围布置服务内容必须达到招标文件规定，如不能达到，在招标人允许的一定时间内进行修改、完善，达到对展示效果的承诺。若经修改、完善后仍不能达到要求，则招标人有权不支付该展项的费用并处以罚款，相关责任由中标人承担。</w:t>
      </w:r>
    </w:p>
    <w:p>
      <w:pPr>
        <w:numPr>
          <w:ilvl w:val="0"/>
          <w:numId w:val="4"/>
        </w:num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验收标准、技术要求均按国家标准和行业标准执行。</w:t>
      </w:r>
    </w:p>
    <w:p>
      <w:pPr>
        <w:numPr>
          <w:ilvl w:val="0"/>
          <w:numId w:val="4"/>
        </w:num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所提供产品及服务壹年内应提供免费质保服务（人为损坏除外），服务响应期≤3天</w:t>
      </w:r>
      <w:r>
        <w:rPr>
          <w:rFonts w:hint="eastAsia" w:cs="宋体" w:asciiTheme="minorEastAsia" w:hAnsiTheme="minorEastAsia" w:eastAsiaTheme="minorEastAsia"/>
          <w:szCs w:val="21"/>
          <w:lang w:eastAsia="zh-CN"/>
        </w:rPr>
        <w:t>。</w:t>
      </w:r>
    </w:p>
    <w:p>
      <w:pPr>
        <w:pStyle w:val="3"/>
        <w:numPr>
          <w:ilvl w:val="0"/>
          <w:numId w:val="2"/>
        </w:numPr>
        <w:tabs>
          <w:tab w:val="left" w:pos="540"/>
        </w:tabs>
        <w:autoSpaceDE/>
        <w:autoSpaceDN/>
        <w:snapToGrid w:val="0"/>
        <w:spacing w:line="276" w:lineRule="auto"/>
        <w:jc w:val="both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资料移交要求</w:t>
      </w:r>
    </w:p>
    <w:p>
      <w:pPr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中标人应向招标人提供以下中文技术资料：</w:t>
      </w:r>
    </w:p>
    <w:p>
      <w:pPr>
        <w:numPr>
          <w:ilvl w:val="0"/>
          <w:numId w:val="5"/>
        </w:numPr>
        <w:tabs>
          <w:tab w:val="left" w:pos="567"/>
        </w:tabs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相关货物/产品安装、调试、使用保养手册（或说明书）。</w:t>
      </w:r>
    </w:p>
    <w:p>
      <w:pPr>
        <w:numPr>
          <w:ilvl w:val="0"/>
          <w:numId w:val="5"/>
        </w:numPr>
        <w:tabs>
          <w:tab w:val="left" w:pos="567"/>
        </w:tabs>
        <w:spacing w:line="360" w:lineRule="auto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设计方案，提供效果图、实施图、清单各两套。</w:t>
      </w:r>
    </w:p>
    <w:p>
      <w:pPr>
        <w:pStyle w:val="3"/>
        <w:numPr>
          <w:ilvl w:val="0"/>
          <w:numId w:val="2"/>
        </w:numPr>
        <w:tabs>
          <w:tab w:val="left" w:pos="540"/>
        </w:tabs>
        <w:autoSpaceDE/>
        <w:autoSpaceDN/>
        <w:snapToGrid w:val="0"/>
        <w:spacing w:line="360" w:lineRule="auto"/>
        <w:jc w:val="both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付款方式</w:t>
      </w:r>
    </w:p>
    <w:p>
      <w:pPr>
        <w:pStyle w:val="3"/>
        <w:tabs>
          <w:tab w:val="left" w:pos="2340"/>
        </w:tabs>
        <w:snapToGrid w:val="0"/>
        <w:spacing w:line="360" w:lineRule="auto"/>
        <w:ind w:firstLine="525" w:firstLineChars="250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由招标人按下列程序付款：</w:t>
      </w:r>
    </w:p>
    <w:p>
      <w:pPr>
        <w:pStyle w:val="3"/>
        <w:numPr>
          <w:ilvl w:val="0"/>
          <w:numId w:val="6"/>
        </w:numPr>
        <w:tabs>
          <w:tab w:val="left" w:pos="2340"/>
        </w:tabs>
        <w:autoSpaceDE/>
        <w:autoSpaceDN/>
        <w:snapToGrid w:val="0"/>
        <w:spacing w:line="360" w:lineRule="auto"/>
        <w:jc w:val="both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项目设计经招标人确认后10个工作日内，招标人向中标人支付至合同金额</w:t>
      </w:r>
      <w:r>
        <w:rPr>
          <w:rFonts w:hint="eastAsia" w:cs="宋体" w:asciiTheme="minorEastAsia" w:hAnsiTheme="minorEastAsia"/>
          <w:szCs w:val="21"/>
          <w:lang w:val="en-US" w:eastAsia="zh-CN"/>
        </w:rPr>
        <w:t>6</w:t>
      </w:r>
      <w:r>
        <w:rPr>
          <w:rFonts w:hint="eastAsia" w:cs="宋体" w:asciiTheme="minorEastAsia" w:hAnsiTheme="minorEastAsia"/>
          <w:szCs w:val="21"/>
        </w:rPr>
        <w:t>0%；</w:t>
      </w:r>
    </w:p>
    <w:p>
      <w:pPr>
        <w:pStyle w:val="3"/>
        <w:numPr>
          <w:ilvl w:val="0"/>
          <w:numId w:val="6"/>
        </w:numPr>
        <w:tabs>
          <w:tab w:val="left" w:pos="2340"/>
          <w:tab w:val="clear" w:pos="425"/>
        </w:tabs>
        <w:autoSpaceDE/>
        <w:autoSpaceDN/>
        <w:snapToGrid w:val="0"/>
        <w:spacing w:line="360" w:lineRule="auto"/>
        <w:ind w:left="425" w:leftChars="0" w:hanging="425" w:firstLineChars="0"/>
        <w:jc w:val="both"/>
        <w:rPr>
          <w:rFonts w:asciiTheme="minorEastAsia" w:hAnsiTheme="minorEastAsia"/>
          <w:bCs/>
          <w:szCs w:val="21"/>
        </w:rPr>
      </w:pPr>
      <w:r>
        <w:rPr>
          <w:rFonts w:hint="eastAsia" w:cs="宋体" w:asciiTheme="minorEastAsia" w:hAnsiTheme="minorEastAsia"/>
          <w:szCs w:val="21"/>
        </w:rPr>
        <w:t>中标人完成服务项目，将有关资料全部移交招标人后，招标人10个工作日内向中标人支付至合同金额100%</w:t>
      </w:r>
      <w:r>
        <w:rPr>
          <w:rFonts w:hint="eastAsia" w:asciiTheme="minorEastAsia" w:hAnsiTheme="minorEastAsia"/>
          <w:bCs/>
          <w:szCs w:val="21"/>
        </w:rPr>
        <w:t>。</w:t>
      </w:r>
    </w:p>
    <w:p>
      <w:pPr>
        <w:pStyle w:val="3"/>
        <w:numPr>
          <w:ilvl w:val="0"/>
          <w:numId w:val="6"/>
        </w:numPr>
        <w:tabs>
          <w:tab w:val="left" w:pos="2340"/>
        </w:tabs>
        <w:autoSpaceDE/>
        <w:autoSpaceDN/>
        <w:snapToGrid w:val="0"/>
        <w:spacing w:line="360" w:lineRule="auto"/>
        <w:jc w:val="both"/>
        <w:rPr>
          <w:rFonts w:asciiTheme="minorEastAsia" w:hAnsiTheme="minorEastAsia"/>
          <w:bCs/>
          <w:szCs w:val="21"/>
        </w:rPr>
      </w:pPr>
      <w:r>
        <w:rPr>
          <w:rFonts w:hint="eastAsia" w:asciiTheme="minorEastAsia" w:hAnsiTheme="minorEastAsia"/>
          <w:bCs/>
          <w:szCs w:val="21"/>
        </w:rPr>
        <w:t>中标人凭以下有效文件与招标人结算：</w:t>
      </w:r>
    </w:p>
    <w:p>
      <w:pPr>
        <w:autoSpaceDE w:val="0"/>
        <w:autoSpaceDN w:val="0"/>
        <w:adjustRightInd w:val="0"/>
        <w:snapToGrid w:val="0"/>
        <w:spacing w:line="360" w:lineRule="auto"/>
        <w:ind w:left="425"/>
        <w:jc w:val="left"/>
        <w:rPr>
          <w:rFonts w:asciiTheme="minorEastAsia" w:hAnsiTheme="minorEastAsia" w:eastAsiaTheme="minorEastAsia"/>
          <w:kern w:val="21"/>
          <w:szCs w:val="21"/>
        </w:rPr>
      </w:pPr>
      <w:r>
        <w:rPr>
          <w:rFonts w:hint="eastAsia" w:asciiTheme="minorEastAsia" w:hAnsiTheme="minorEastAsia" w:eastAsiaTheme="minorEastAsia"/>
          <w:kern w:val="21"/>
          <w:szCs w:val="21"/>
        </w:rPr>
        <w:t>（1）合同；</w:t>
      </w:r>
    </w:p>
    <w:p>
      <w:pPr>
        <w:autoSpaceDE w:val="0"/>
        <w:autoSpaceDN w:val="0"/>
        <w:adjustRightInd w:val="0"/>
        <w:snapToGrid w:val="0"/>
        <w:spacing w:line="360" w:lineRule="auto"/>
        <w:ind w:left="425"/>
        <w:jc w:val="left"/>
        <w:rPr>
          <w:rFonts w:asciiTheme="minorEastAsia" w:hAnsiTheme="minorEastAsia" w:eastAsiaTheme="minorEastAsia"/>
          <w:kern w:val="21"/>
          <w:szCs w:val="21"/>
        </w:rPr>
      </w:pPr>
      <w:r>
        <w:rPr>
          <w:rFonts w:hint="eastAsia" w:asciiTheme="minorEastAsia" w:hAnsiTheme="minorEastAsia" w:eastAsiaTheme="minorEastAsia"/>
          <w:kern w:val="21"/>
          <w:szCs w:val="21"/>
        </w:rPr>
        <w:t>（2）中标人开具的正式发票；</w:t>
      </w:r>
    </w:p>
    <w:p>
      <w:pPr>
        <w:autoSpaceDE w:val="0"/>
        <w:autoSpaceDN w:val="0"/>
        <w:adjustRightInd w:val="0"/>
        <w:snapToGrid w:val="0"/>
        <w:spacing w:line="360" w:lineRule="auto"/>
        <w:ind w:left="425"/>
        <w:jc w:val="left"/>
        <w:rPr>
          <w:rFonts w:asciiTheme="minorEastAsia" w:hAnsiTheme="minorEastAsia" w:eastAsiaTheme="minorEastAsia"/>
          <w:kern w:val="21"/>
          <w:szCs w:val="21"/>
        </w:rPr>
      </w:pPr>
      <w:r>
        <w:rPr>
          <w:rFonts w:hint="eastAsia" w:asciiTheme="minorEastAsia" w:hAnsiTheme="minorEastAsia" w:eastAsiaTheme="minorEastAsia"/>
          <w:kern w:val="21"/>
          <w:szCs w:val="21"/>
        </w:rPr>
        <w:t>（3）中标通知书；</w:t>
      </w:r>
    </w:p>
    <w:p>
      <w:r>
        <w:rPr>
          <w:rFonts w:hint="eastAsia" w:asciiTheme="minorEastAsia" w:hAnsiTheme="minorEastAsia" w:eastAsiaTheme="minorEastAsia"/>
          <w:kern w:val="21"/>
          <w:szCs w:val="21"/>
        </w:rPr>
        <w:t>（4）招标人要求的其他相关结算资料。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996981"/>
    <w:multiLevelType w:val="multilevel"/>
    <w:tmpl w:val="0599698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5AC778E"/>
    <w:multiLevelType w:val="multilevel"/>
    <w:tmpl w:val="25AC778E"/>
    <w:lvl w:ilvl="0" w:tentative="0">
      <w:start w:val="1"/>
      <w:numFmt w:val="chineseCountingThousand"/>
      <w:lvlText w:val="%1、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79E1E93"/>
    <w:multiLevelType w:val="multilevel"/>
    <w:tmpl w:val="279E1E9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b w:val="0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3">
    <w:nsid w:val="6BB3070F"/>
    <w:multiLevelType w:val="multilevel"/>
    <w:tmpl w:val="6BB3070F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046533"/>
    <w:multiLevelType w:val="multilevel"/>
    <w:tmpl w:val="7204653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E4101A"/>
    <w:multiLevelType w:val="multilevel"/>
    <w:tmpl w:val="74E4101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539F6"/>
    <w:rsid w:val="1F2D2FA4"/>
    <w:rsid w:val="223D36D3"/>
    <w:rsid w:val="2AA4539E"/>
    <w:rsid w:val="3BC56403"/>
    <w:rsid w:val="3F1539F6"/>
    <w:rsid w:val="52E14AAD"/>
    <w:rsid w:val="56F15404"/>
    <w:rsid w:val="5BE36CC3"/>
    <w:rsid w:val="6C58775B"/>
    <w:rsid w:val="6F7163CE"/>
    <w:rsid w:val="7A7C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宋体" w:hAnsi="Courier New" w:eastAsiaTheme="minorEastAsia" w:cstheme="minorBidi"/>
    </w:rPr>
  </w:style>
  <w:style w:type="paragraph" w:customStyle="1" w:styleId="6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2021-11-01T08:13:00Z</dcterms:created>
  <dc:creator>Administrator</dc:creator>
  <cp:lastModifiedBy>大宝BH7KVG</cp:lastModifiedBy>
  <dcterms:modified xsi:type="dcterms:W3CDTF">2021-11-04T09:24:07Z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B2EBB13E69664180A5044C8397F83EEB</vt:lpwstr>
  </property>
</Properties>
</file>