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征地补偿安置方案</w:t>
      </w:r>
    </w:p>
    <w:p>
      <w:pPr>
        <w:spacing w:line="440" w:lineRule="exact"/>
        <w:jc w:val="center"/>
        <w:rPr>
          <w:rFonts w:ascii="黑体" w:hAnsi="Times New Roman" w:eastAsia="黑体" w:cs="Times New Roman"/>
          <w:sz w:val="28"/>
          <w:szCs w:val="28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实施花都区花东镇建设规划，完善城市功能，改善城市环境，促进经济、文化发展。受中交广连高速公路投资发展有限公司委托，拟征收广州市花都区花东镇七星经济联合社、七星村第四经济合作社、七星村第五经济合作社、七星村第六经济合作社、七星村第七经济合作社、七星村第九经济合作社集体土地</w:t>
      </w:r>
      <w:r>
        <w:rPr>
          <w:rFonts w:ascii="Times New Roman" w:hAnsi="Times New Roman" w:eastAsia="仿宋_GB2312" w:cs="Times New Roman"/>
          <w:sz w:val="32"/>
          <w:szCs w:val="32"/>
        </w:rPr>
        <w:t>53.1486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为切实做好征地补偿安置工作，确保征地工作的顺利进行，根据《中华人民共和国土地管理法》、《广东省实施&lt;中华人民共和国土地管理法&gt;办法》等规定，结合我区实际情况拟定了征地补偿安置方案，并予以公告，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体征地补偿安置情况如下：</w:t>
      </w:r>
    </w:p>
    <w:p>
      <w:pPr>
        <w:tabs>
          <w:tab w:val="left" w:pos="1360"/>
        </w:tabs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一、征收集体土地情况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征收集体土地总面积</w:t>
      </w:r>
      <w:r>
        <w:rPr>
          <w:rFonts w:ascii="Times New Roman" w:hAnsi="Times New Roman" w:eastAsia="仿宋_GB2312" w:cs="Times New Roman"/>
          <w:sz w:val="32"/>
          <w:szCs w:val="32"/>
        </w:rPr>
        <w:t>53.1486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公顷，地类为农用地</w:t>
      </w:r>
      <w:r>
        <w:rPr>
          <w:rFonts w:ascii="Times New Roman" w:hAnsi="Times New Roman" w:eastAsia="仿宋_GB2312" w:cs="Times New Roman"/>
          <w:sz w:val="32"/>
          <w:szCs w:val="32"/>
        </w:rPr>
        <w:t>51.0487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(耕地</w:t>
      </w:r>
      <w:r>
        <w:rPr>
          <w:rFonts w:ascii="Times New Roman" w:hAnsi="Times New Roman" w:eastAsia="仿宋_GB2312" w:cs="Times New Roman"/>
          <w:sz w:val="32"/>
          <w:szCs w:val="32"/>
        </w:rPr>
        <w:t>0.5366公顷、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园地</w:t>
      </w:r>
      <w:r>
        <w:rPr>
          <w:rFonts w:ascii="Times New Roman" w:hAnsi="Times New Roman" w:eastAsia="仿宋_GB2312" w:cs="Times New Roman"/>
          <w:sz w:val="32"/>
          <w:szCs w:val="32"/>
        </w:rPr>
        <w:t>9.9316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公顷、</w:t>
      </w:r>
      <w:r>
        <w:rPr>
          <w:rFonts w:ascii="Times New Roman" w:hAnsi="Times New Roman" w:eastAsia="仿宋_GB2312" w:cs="Times New Roman"/>
          <w:sz w:val="32"/>
          <w:szCs w:val="32"/>
        </w:rPr>
        <w:t>林地37.5855公顷、其他农用地2.1797公顷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、养殖水面</w:t>
      </w:r>
      <w:r>
        <w:rPr>
          <w:rFonts w:ascii="Times New Roman" w:hAnsi="Times New Roman" w:eastAsia="仿宋_GB2312" w:cs="Times New Roman"/>
          <w:sz w:val="32"/>
          <w:szCs w:val="32"/>
        </w:rPr>
        <w:t>0.8153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</w:t>
      </w:r>
      <w:r>
        <w:rPr>
          <w:rFonts w:ascii="Times New Roman" w:hAnsi="Times New Roman" w:eastAsia="仿宋_GB2312" w:cs="Times New Roman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，建设用地</w:t>
      </w:r>
      <w:r>
        <w:rPr>
          <w:rFonts w:ascii="Times New Roman" w:hAnsi="Times New Roman" w:eastAsia="仿宋_GB2312" w:cs="Times New Roman"/>
          <w:sz w:val="32"/>
          <w:szCs w:val="32"/>
        </w:rPr>
        <w:t>1.4938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公顷，未利用地</w:t>
      </w:r>
      <w:r>
        <w:rPr>
          <w:rFonts w:ascii="Times New Roman" w:hAnsi="Times New Roman" w:eastAsia="仿宋_GB2312" w:cs="Times New Roman"/>
          <w:sz w:val="32"/>
          <w:szCs w:val="32"/>
        </w:rPr>
        <w:t>0.6061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公顷。</w:t>
      </w:r>
    </w:p>
    <w:p>
      <w:pPr>
        <w:spacing w:line="48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征收土地的补偿标准、安置途径如下：</w:t>
      </w:r>
    </w:p>
    <w:tbl>
      <w:tblPr>
        <w:tblStyle w:val="2"/>
        <w:tblW w:w="91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709"/>
        <w:gridCol w:w="1276"/>
        <w:gridCol w:w="1275"/>
        <w:gridCol w:w="1560"/>
        <w:gridCol w:w="1417"/>
        <w:gridCol w:w="709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被征地村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征收面积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（公顷）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土地补偿标准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（万元/公顷）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补偿金额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支付对象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 付 方 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广州市花都区花东镇七星经济联合社、七星村第四、第五、第六、第七、第九经济合作社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土地补偿费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0.5366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43.0139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被征地村社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9.9316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796.1171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37.5855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3012.8537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广州市花都区花东镇七星经济联合社、七星村第四、第五、第六、第七、第九经济合作社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土地补偿费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牧草地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被征地村社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其他农用地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2.1797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174.7248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养殖水面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0.8153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65.3544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1.4938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179.6145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0.6061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120.24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72.8775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安置补偿费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0.5366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21.5069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9.9316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398.0585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37.5855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1506.4268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牧草地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其他农用地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2.1797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87.3624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养殖水面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0.8153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32.6772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53.1486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3973.3893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10363.977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</w:t>
            </w:r>
          </w:p>
        </w:tc>
      </w:tr>
    </w:tbl>
    <w:p>
      <w:pPr>
        <w:spacing w:line="44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二、安置措施情况</w:t>
      </w:r>
    </w:p>
    <w:p>
      <w:pPr>
        <w:spacing w:line="44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>
      <w:pPr>
        <w:spacing w:line="44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三、留用地情况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留用地按实际征地面积的10%安排，面积</w:t>
      </w:r>
      <w:r>
        <w:rPr>
          <w:rFonts w:ascii="Times New Roman" w:hAnsi="Times New Roman" w:eastAsia="仿宋_GB2312" w:cs="Times New Roman"/>
          <w:sz w:val="32"/>
          <w:szCs w:val="32"/>
        </w:rPr>
        <w:t>5.3149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</w:t>
      </w:r>
      <w:r>
        <w:rPr>
          <w:rFonts w:hint="eastAsia" w:hAnsi="仿宋_GB2312" w:eastAsia="仿宋_GB2312"/>
          <w:sz w:val="32"/>
          <w:szCs w:val="32"/>
        </w:rPr>
        <w:t>拟</w:t>
      </w:r>
      <w:r>
        <w:rPr>
          <w:rFonts w:hint="eastAsia" w:eastAsia="仿宋_GB2312"/>
          <w:sz w:val="32"/>
          <w:szCs w:val="32"/>
        </w:rPr>
        <w:t>批准用地后六个月内依法办理留用地的用地报批手续。</w:t>
      </w:r>
    </w:p>
    <w:p>
      <w:pPr>
        <w:spacing w:line="44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四、补偿价格情况说明</w:t>
      </w:r>
    </w:p>
    <w:p>
      <w:pPr>
        <w:spacing w:line="44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待征地区片综合地价完成编制并公布后，涉及存在差价的另行补足。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520" w:lineRule="exact"/>
        <w:ind w:firstLine="2880" w:firstLineChars="9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广州市规划和自然资源局花都区分局</w:t>
      </w:r>
    </w:p>
    <w:p>
      <w:pPr>
        <w:jc w:val="center"/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             </w:t>
      </w:r>
      <w:r>
        <w:rPr>
          <w:rFonts w:ascii="Times New Roman" w:hAnsi="仿宋_GB2312" w:eastAsia="仿宋_GB2312" w:cs="Times New Roman"/>
          <w:sz w:val="32"/>
          <w:szCs w:val="32"/>
        </w:rPr>
        <w:t>20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</w:t>
      </w:r>
      <w:r>
        <w:rPr>
          <w:rFonts w:ascii="Times New Roman" w:hAnsi="仿宋_GB2312" w:eastAsia="仿宋_GB2312" w:cs="Times New Roman"/>
          <w:sz w:val="32"/>
          <w:szCs w:val="32"/>
        </w:rPr>
        <w:t>年9月7日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7093"/>
    <w:rsid w:val="210F0D65"/>
    <w:rsid w:val="78A0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陈小子</cp:lastModifiedBy>
  <dcterms:modified xsi:type="dcterms:W3CDTF">2022-05-23T06:07:49Z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