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询价清单</w:t>
      </w:r>
    </w:p>
    <w:tbl>
      <w:tblPr>
        <w:tblStyle w:val="3"/>
        <w:tblW w:w="14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59"/>
        <w:gridCol w:w="4394"/>
        <w:gridCol w:w="851"/>
        <w:gridCol w:w="708"/>
        <w:gridCol w:w="1134"/>
        <w:gridCol w:w="1032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工作任务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项目设计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设计</w:t>
            </w: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完成本项目的详细设计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设计要求具有科学性、可实施性强。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水鸟生态廊道质量提升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水鸟生态廊道监测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空天地智能一体化监测设备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完成水土气、植物与植被、兽类、鸟类、爬行类和两栖类监测。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宣传教育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宣传牌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科普内容包括鸟类物种介绍牌、观鸟注意事项、生态系统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室外显示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宣传系统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显示空天地智能一体化监测实时影像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栖息地生境修复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清除沿观景道路原始杂草地被，选择景观效果好、抗灾能力强、便于管理的水生、湿生植物，营造层次丰富的景观结构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栖息地生境修复效果面积达12公顷。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廊道节点质量提升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湿地环境修复，建造多种鸟类栖息环境，招引和重引入本地多种鸟类，注重关键物种，设置生态浮岛，补植供栖息树木与食源植物等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18.7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质量提升效果面积达18.7公顷。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54B87"/>
    <w:rsid w:val="72F5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2022-08-12T03:03:00Z</dcterms:created>
  <dc:creator>陈小子</dc:creator>
  <cp:lastModifiedBy>陈小子</cp:lastModifiedBy>
  <dcterms:modified xsi:type="dcterms:W3CDTF">2022-08-12T03:05:35Z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B42450219163412380056829D197EC84</vt:lpwstr>
  </property>
</Properties>
</file>