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spacing w:before="0" w:beforeAutospacing="0" w:after="0" w:afterAutospacing="0" w:line="570" w:lineRule="atLeast"/>
        <w:ind w:left="0" w:leftChars="0" w:firstLine="0" w:firstLineChars="0"/>
        <w:jc w:val="left"/>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附件1</w:t>
      </w:r>
    </w:p>
    <w:p>
      <w:pPr>
        <w:pStyle w:val="7"/>
        <w:widowControl/>
        <w:shd w:val="clear" w:color="auto"/>
        <w:spacing w:before="0" w:beforeAutospacing="0" w:after="0" w:afterAutospacing="0" w:line="570" w:lineRule="atLeast"/>
        <w:ind w:left="0" w:leftChars="0" w:firstLine="0" w:firstLineChars="0"/>
        <w:jc w:val="left"/>
        <w:rPr>
          <w:rFonts w:hint="eastAsia" w:ascii="仿宋_GB2312" w:hAnsi="仿宋_GB2312" w:eastAsia="仿宋_GB2312" w:cs="仿宋_GB2312"/>
          <w:snapToGrid w:val="0"/>
          <w:color w:val="auto"/>
          <w:kern w:val="0"/>
          <w:sz w:val="32"/>
          <w:szCs w:val="32"/>
          <w:highlight w:val="none"/>
          <w:lang w:val="en-US" w:eastAsia="zh-CN" w:bidi="ar-SA"/>
        </w:rPr>
      </w:pPr>
    </w:p>
    <w:p>
      <w:pPr>
        <w:pStyle w:val="7"/>
        <w:widowControl/>
        <w:shd w:val="clear" w:color="auto"/>
        <w:spacing w:before="0" w:beforeAutospacing="0" w:after="0" w:afterAutospacing="0" w:line="570" w:lineRule="atLeast"/>
        <w:ind w:firstLine="630"/>
        <w:jc w:val="center"/>
        <w:rPr>
          <w:rFonts w:hint="eastAsia" w:ascii="方正小标宋简体" w:hAnsi="方正小标宋简体" w:eastAsia="方正小标宋简体" w:cs="方正小标宋简体"/>
          <w:snapToGrid w:val="0"/>
          <w:color w:val="auto"/>
          <w:kern w:val="0"/>
          <w:sz w:val="44"/>
          <w:szCs w:val="44"/>
          <w:highlight w:val="none"/>
          <w:lang w:val="en-US" w:eastAsia="zh-CN" w:bidi="ar-SA"/>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关于李一霖委员所提提案的答复意见</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一、关于“加强政府宣传引导作用”的建议</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双减”工作开展以来，我区已通过新闻媒体、微信公众号、家长会、致家长一封信等多渠道向社会广泛宣传“双减”政策。同时，通过收集“双减”工作开展过程中各学校值得推广的主要做法形成典型案例进行宣传。</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下一步，我区将继续扩大宣传覆盖面，做好“双减”系列政策的宣传和解读，解答家长疑问，缓解家长对“双减”出台后的焦虑情绪。</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二、关于“充分利用政府力量多渠道整合课后服务资源”的建议</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我区已适当引进和利用合格的校外资源。目前有71家校外第三方机构通过严格审核，其中62家已顺利入校参与到课后服务当中。同时，充分利用社会资源，如图书馆、博物馆、文化馆、展览中心、实践基地、科普教育基地等青少年校外活动场所，积极拓展课后服务资源。截止2022年3月底，我区为义务教育阶段各学校学生共提供1146门课后服务课程，2045名教师参与到课后服务中，为学生在校内学足学好奠定了坚实的基础。</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下一步，我区将与相关高校沟通，将与入校课程相关专业的优秀大学生引入学校，参与课后服务，一方面丰富了我区的课后服务资源，另一方面也为大学生提供了社会实践机会。</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三、关于“加强政府对校外教育机构的监督管理”的建议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snapToGrid w:val="0"/>
          <w:color w:val="auto"/>
          <w:kern w:val="0"/>
          <w:sz w:val="32"/>
          <w:szCs w:val="32"/>
          <w:highlight w:val="none"/>
          <w:lang w:val="en-US" w:eastAsia="zh-CN" w:bidi="ar-SA"/>
        </w:rPr>
        <w:t>自“双减”工作开展以来，我区积极落实“双减”工作要求，加大对校外培训机构治理力度。</w:t>
      </w:r>
      <w:r>
        <w:rPr>
          <w:rFonts w:hint="eastAsia" w:ascii="Times New Roman" w:hAnsi="Times New Roman" w:eastAsia="仿宋_GB2312" w:cs="Times New Roman"/>
          <w:b/>
          <w:bCs/>
          <w:snapToGrid w:val="0"/>
          <w:color w:val="auto"/>
          <w:kern w:val="0"/>
          <w:sz w:val="32"/>
          <w:szCs w:val="32"/>
          <w:highlight w:val="none"/>
          <w:lang w:val="en-US" w:eastAsia="zh-CN" w:bidi="ar-SA"/>
        </w:rPr>
        <w:t>一是严把审批关。</w:t>
      </w:r>
      <w:r>
        <w:rPr>
          <w:rFonts w:hint="eastAsia" w:ascii="Times New Roman" w:hAnsi="Times New Roman" w:eastAsia="仿宋_GB2312" w:cs="Times New Roman"/>
          <w:snapToGrid w:val="0"/>
          <w:color w:val="auto"/>
          <w:kern w:val="0"/>
          <w:sz w:val="32"/>
          <w:szCs w:val="32"/>
          <w:highlight w:val="none"/>
          <w:lang w:val="en-US" w:eastAsia="zh-CN" w:bidi="ar-SA"/>
        </w:rPr>
        <w:t>现已停止审批面向义务教育和普通高中阶段学生的学科类校外培训机构，停止审批面向学龄前儿童的校外培训机构。目前，我区32家学科类校外培训机构转为非学科培训，10家停止办学，1家学科类培训机构选择继续学科培训，压减率达97.7%。</w:t>
      </w:r>
      <w:r>
        <w:rPr>
          <w:rFonts w:hint="eastAsia" w:ascii="Times New Roman" w:hAnsi="Times New Roman" w:eastAsia="仿宋_GB2312" w:cs="Times New Roman"/>
          <w:b/>
          <w:bCs/>
          <w:snapToGrid w:val="0"/>
          <w:color w:val="auto"/>
          <w:kern w:val="0"/>
          <w:sz w:val="32"/>
          <w:szCs w:val="32"/>
          <w:highlight w:val="none"/>
          <w:lang w:val="en-US" w:eastAsia="zh-CN" w:bidi="ar-SA"/>
        </w:rPr>
        <w:t>二是强化网格化巡查机制。</w:t>
      </w:r>
      <w:r>
        <w:rPr>
          <w:rFonts w:hint="eastAsia" w:ascii="Times New Roman" w:hAnsi="Times New Roman" w:eastAsia="仿宋_GB2312" w:cs="Times New Roman"/>
          <w:snapToGrid w:val="0"/>
          <w:color w:val="auto"/>
          <w:kern w:val="0"/>
          <w:sz w:val="32"/>
          <w:szCs w:val="32"/>
          <w:highlight w:val="none"/>
          <w:lang w:val="en-US" w:eastAsia="zh-CN" w:bidi="ar-SA"/>
        </w:rPr>
        <w:t>“双减”政策实施以来，周末、节假日、寒暑假均安排人员检查校外培训机构疫情防控、证件齐全、从业人员资质、安全管理等重点事项日常巡查。</w:t>
      </w:r>
      <w:r>
        <w:rPr>
          <w:rFonts w:hint="eastAsia" w:ascii="Times New Roman" w:hAnsi="Times New Roman" w:eastAsia="仿宋_GB2312" w:cs="Times New Roman"/>
          <w:b/>
          <w:bCs/>
          <w:snapToGrid w:val="0"/>
          <w:color w:val="auto"/>
          <w:kern w:val="0"/>
          <w:sz w:val="32"/>
          <w:szCs w:val="32"/>
          <w:highlight w:val="none"/>
          <w:lang w:val="en-US" w:eastAsia="zh-CN" w:bidi="ar-SA"/>
        </w:rPr>
        <w:t>三是加强校外培训机构预收费资金监管。</w:t>
      </w:r>
      <w:r>
        <w:rPr>
          <w:rFonts w:hint="eastAsia" w:ascii="Times New Roman" w:hAnsi="Times New Roman" w:eastAsia="仿宋_GB2312" w:cs="Times New Roman"/>
          <w:snapToGrid w:val="0"/>
          <w:color w:val="auto"/>
          <w:kern w:val="0"/>
          <w:sz w:val="32"/>
          <w:szCs w:val="32"/>
          <w:highlight w:val="none"/>
          <w:lang w:val="en-US" w:eastAsia="zh-CN" w:bidi="ar-SA"/>
        </w:rPr>
        <w:t>已完成学科类和非学科类校外培训机构预收费资金专用账户开设工作，公布了全区校外培训机构的资金监管账户账号，引导家长交费不超过3个月或单个科目不超过60个课时，实现全区学科类和非学科类校外培训机构预收费资金监管全覆盖。根据国家有关文件精神，义务教育阶段线下学科类校外培训收费依法实行政府指导价管理，对面向普通高中学生的学科类校外培训收费的管理，参照执行。非学科类培训收费暂出台限价措施。</w:t>
      </w:r>
      <w:r>
        <w:rPr>
          <w:rFonts w:hint="eastAsia" w:ascii="Times New Roman" w:hAnsi="Times New Roman" w:eastAsia="仿宋_GB2312" w:cs="Times New Roman"/>
          <w:b/>
          <w:bCs/>
          <w:snapToGrid w:val="0"/>
          <w:color w:val="auto"/>
          <w:kern w:val="0"/>
          <w:sz w:val="32"/>
          <w:szCs w:val="32"/>
          <w:highlight w:val="none"/>
          <w:lang w:val="en-US" w:eastAsia="zh-CN" w:bidi="ar-SA"/>
        </w:rPr>
        <w:t>四是公布2022年花都区校外培训机构黑白名单（第一批）和校外培训机构负面清单。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公布举报热线，倡议教育培训机构提高行业自律。</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四、关于“联合学校、社会和家长三方，形成三位一体的教育模式，发挥家校社协同育人机制”的建议</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印发了《广州市花都区教育局关于落实中小学家访工作的实施方案》，通过家访向家长宣传“双减”政策内容，积极引导家长树立科学育儿观念，引导家长及其他监护人员履行好监护职责，树立“家庭是第一个课堂、家长是第一任老师”的责任意识、树立正确的家庭教育观，教育孩子养成良好思想、品行和习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区妇联、区教育局围绕着“双减政策出台如何做智慧父母”为主题，举办了“双减”下家长如何改变观念、“双减”下家长如何缓解焦虑，“双减”下家长如何配合家校等家庭教育讲座，引导家长理性确定孩子成长预期，帮助家长树立正确的儿童观、亲子观、教子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下一步，我区计划通过“花惠行动”继续拓宽家校社联动，在全区10个街镇宣讲双减政策，让更多家长改变短视化教育观念，为减负达成共识。</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五、关于“开展区域性各项兴趣爱好类交流活动”的建议</w:t>
      </w:r>
    </w:p>
    <w:p>
      <w:pPr>
        <w:pStyle w:val="3"/>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目前，我区利用科普资源丰富学生课余生活，全区已建成43家各具特色、多元化实践的科普基地和青少年科技教育基地。鼓励和引导科普资源积极开展形式多样的科普活动丰富学生课余生活。我区还</w:t>
      </w: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组织了红色科技模型暨国防教育模型竞赛、青少年创新大赛、创意机器人赛、科幻绘画、3D打印设计大赛，同时举办了花都区第三届创客大赛。</w:t>
      </w:r>
    </w:p>
    <w:p>
      <w:pPr>
        <w:pStyle w:val="3"/>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区妇联以“童心向党”“学党史进万家”“阅读进家庭”等主题，举办了经典美文家庭亲子诵读、2021年度羊城小先锋花都赛区比赛、花都区青少年书画大赛、“抗击疫情 童心汇爱”主题作品展示、七星小学“光速少年”暑期综合能力系列提升等等活动，让儿童寓教于乐、寓理于请，在活动中培养兴趣爱好，陶冶情操。</w:t>
      </w:r>
    </w:p>
    <w:p>
      <w:pPr>
        <w:pStyle w:val="3"/>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下一步，我区将把劳动教育与学生的兴趣爱好相结合，鼓励优秀的劳动教育基地及研学基地开展形式多样的活动，充分发挥科普教育基地、青少年科技教育基的作用。</w:t>
      </w:r>
    </w:p>
    <w:p>
      <w:pPr>
        <w:pStyle w:val="7"/>
        <w:keepNext w:val="0"/>
        <w:keepLines w:val="0"/>
        <w:pageBreakBefore w:val="0"/>
        <w:widowControl/>
        <w:numPr>
          <w:ilvl w:val="0"/>
          <w:numId w:val="0"/>
        </w:numPr>
        <w:shd w:val="clear" w:color="auto"/>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黑体" w:hAnsi="黑体" w:eastAsia="黑体" w:cs="黑体"/>
          <w:snapToGrid w:val="0"/>
          <w:color w:val="auto"/>
          <w:kern w:val="0"/>
          <w:sz w:val="32"/>
          <w:szCs w:val="32"/>
          <w:highlight w:val="none"/>
          <w:lang w:val="en-US" w:eastAsia="zh-CN" w:bidi="ar-SA"/>
        </w:rPr>
      </w:pPr>
      <w:r>
        <w:rPr>
          <w:rFonts w:hint="eastAsia" w:ascii="黑体" w:hAnsi="黑体" w:eastAsia="黑体" w:cs="黑体"/>
          <w:snapToGrid w:val="0"/>
          <w:color w:val="auto"/>
          <w:kern w:val="0"/>
          <w:sz w:val="32"/>
          <w:szCs w:val="32"/>
          <w:highlight w:val="none"/>
          <w:lang w:val="en-US" w:eastAsia="zh-CN" w:bidi="ar-SA"/>
        </w:rPr>
        <w:t>六、关于“探索建立社区或小区儿童之家”的建议</w:t>
      </w:r>
    </w:p>
    <w:p>
      <w:pPr>
        <w:pStyle w:val="3"/>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目前，我区部分社区有专人负责社区“儿童之家”的管理工作，并结合社区儿童特色建立了“心灵驿站”“四点钟讲堂”“温馨之家”“安全港湾”“学习园地”等多个板块，为小区儿童提供阅读、体育、艺术等方面的教育，丰富儿童课外生活。</w:t>
      </w:r>
    </w:p>
    <w:p>
      <w:pPr>
        <w:pStyle w:val="3"/>
        <w:keepNext w:val="0"/>
        <w:keepLines w:val="0"/>
        <w:pageBreakBefore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下一步，我区将完善“儿童之家”的建设，联合社区居委会组织已退休身体健康的教师组成志愿者队伍为社区儿童提供阅读、体育、艺术等</w:t>
      </w:r>
      <w:bookmarkStart w:id="0" w:name="_GoBack"/>
      <w:bookmarkEnd w:id="0"/>
      <w:r>
        <w:rPr>
          <w:rFonts w:hint="eastAsia" w:ascii="仿宋_GB2312" w:hAnsi="仿宋_GB2312" w:eastAsia="仿宋_GB2312" w:cs="仿宋_GB2312"/>
          <w:b w:val="0"/>
          <w:bCs w:val="0"/>
          <w:color w:val="000000" w:themeColor="text1"/>
          <w:kern w:val="2"/>
          <w:sz w:val="32"/>
          <w:szCs w:val="32"/>
          <w:lang w:val="en-US" w:eastAsia="zh-CN" w:bidi="ar"/>
          <w14:textFill>
            <w14:solidFill>
              <w14:schemeClr w14:val="tx1"/>
            </w14:solidFill>
          </w14:textFill>
        </w:rPr>
        <w:t>方面的教育。依托社区妇女之家、儿童之家开展亲子诵读、暑期文化艺术节、家庭才艺比赛等活动。</w:t>
      </w:r>
    </w:p>
    <w:p>
      <w:pPr>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MEr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JMErfeAgAAJAYAAA4AAAAAAAAAAQAgAAAAHwEAAGRycy9lMm9Eb2MueG1sUEsF&#10;BgAAAAAGAAYAWQEAAG8G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GMyMjQyMDUwNWQ0M2EyZjgwZmQ2MDVlNjZkZGIifQ=="/>
  </w:docVars>
  <w:rsids>
    <w:rsidRoot w:val="4B273D8F"/>
    <w:rsid w:val="0BB01247"/>
    <w:rsid w:val="10516984"/>
    <w:rsid w:val="130628D8"/>
    <w:rsid w:val="16633A9A"/>
    <w:rsid w:val="20C35D71"/>
    <w:rsid w:val="21C5651C"/>
    <w:rsid w:val="25467305"/>
    <w:rsid w:val="260655CE"/>
    <w:rsid w:val="3F236F87"/>
    <w:rsid w:val="45735D61"/>
    <w:rsid w:val="48040ED3"/>
    <w:rsid w:val="4B273D8F"/>
    <w:rsid w:val="56E47BF1"/>
    <w:rsid w:val="611448E2"/>
    <w:rsid w:val="65D62203"/>
    <w:rsid w:val="6D3E1C0C"/>
    <w:rsid w:val="75856CF0"/>
    <w:rsid w:val="7BBC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spacing w:line="320" w:lineRule="exact"/>
      <w:jc w:val="center"/>
    </w:pPr>
    <w:rPr>
      <w:rFonts w:hint="eastAsia" w:ascii="Calibri" w:hAnsi="Calibri" w:eastAsia="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4</Pages>
  <Words>2038</Words>
  <Characters>2065</Characters>
  <Lines>0</Lines>
  <Paragraphs>0</Paragraphs>
  <TotalTime>8</TotalTime>
  <ScaleCrop>false</ScaleCrop>
  <LinksUpToDate>false</LinksUpToDate>
  <CharactersWithSpaces>2066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2022-02-24T09:17:00Z</dcterms:created>
  <dc:creator>jyk</dc:creator>
  <cp:lastModifiedBy>HDJYJ-LCM</cp:lastModifiedBy>
  <dcterms:modified xsi:type="dcterms:W3CDTF">2022-08-26T06:48:56Z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12C4E68CCAFC4930A84397FB050B60EA</vt:lpwstr>
  </property>
  <property fmtid="{D5CDD505-2E9C-101B-9397-08002B2CF9AE}" pid="4" name="commondata">
    <vt:lpwstr>eyJoZGlkIjoiZDU5ZGMyMjQyMDUwNWQ0M2EyZjgwZmQ2MDVlNjZkZGIifQ==</vt:lpwstr>
  </property>
</Properties>
</file>