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420" w:firstLineChars="200"/>
        <w:contextualSpacing/>
        <w:rPr>
          <w:rFonts w:ascii="宋体" w:hAnsi="宋体"/>
          <w:szCs w:val="21"/>
        </w:rPr>
      </w:pPr>
      <w:r>
        <w:rPr>
          <w:rFonts w:hint="eastAsia" w:ascii="宋体" w:hAnsi="宋体"/>
          <w:szCs w:val="21"/>
        </w:rPr>
        <w:t>附表</w:t>
      </w:r>
    </w:p>
    <w:p>
      <w:pPr>
        <w:adjustRightInd w:val="0"/>
        <w:snapToGrid w:val="0"/>
        <w:spacing w:line="560" w:lineRule="exact"/>
        <w:contextualSpacing/>
        <w:jc w:val="center"/>
        <w:rPr>
          <w:rFonts w:hint="eastAsia" w:ascii="方正小标宋_GBK" w:hAnsi="方正小标宋_GBK" w:eastAsia="方正小标宋_GBK" w:cs="方正小标宋_GBK"/>
          <w:sz w:val="44"/>
          <w:szCs w:val="44"/>
          <w:highlight w:val="none"/>
          <w:lang w:eastAsia="zh-CN"/>
        </w:rPr>
      </w:pPr>
      <w:bookmarkStart w:id="0" w:name="_GoBack"/>
      <w:r>
        <w:rPr>
          <w:rFonts w:hint="eastAsia" w:ascii="方正小标宋_GBK" w:hAnsi="方正小标宋_GBK" w:eastAsia="方正小标宋_GBK" w:cs="方正小标宋_GBK"/>
          <w:sz w:val="44"/>
          <w:szCs w:val="44"/>
          <w:highlight w:val="none"/>
          <w:lang w:val="en-US" w:eastAsia="zh-CN"/>
        </w:rPr>
        <w:t>花都区森林防火蓄水罐</w:t>
      </w:r>
      <w:r>
        <w:rPr>
          <w:rFonts w:hint="eastAsia" w:ascii="方正小标宋_GBK" w:hAnsi="方正小标宋_GBK" w:eastAsia="方正小标宋_GBK" w:cs="方正小标宋_GBK"/>
          <w:sz w:val="44"/>
          <w:szCs w:val="44"/>
          <w:highlight w:val="none"/>
        </w:rPr>
        <w:t>项目</w:t>
      </w:r>
      <w:r>
        <w:rPr>
          <w:rFonts w:hint="eastAsia" w:ascii="方正小标宋_GBK" w:hAnsi="方正小标宋_GBK" w:eastAsia="方正小标宋_GBK" w:cs="方正小标宋_GBK"/>
          <w:sz w:val="44"/>
          <w:szCs w:val="44"/>
          <w:highlight w:val="none"/>
          <w:lang w:eastAsia="zh-CN"/>
        </w:rPr>
        <w:t>报价表</w:t>
      </w:r>
    </w:p>
    <w:bookmarkEnd w:id="0"/>
    <w:p>
      <w:pPr>
        <w:adjustRightInd w:val="0"/>
        <w:snapToGrid w:val="0"/>
        <w:spacing w:line="560" w:lineRule="exact"/>
        <w:contextualSpacing/>
        <w:jc w:val="left"/>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30"/>
          <w:szCs w:val="30"/>
          <w:highlight w:val="none"/>
          <w:lang w:val="en-US" w:eastAsia="zh-CN"/>
        </w:rPr>
        <w:t xml:space="preserve">   </w:t>
      </w:r>
      <w:r>
        <w:rPr>
          <w:rFonts w:hint="eastAsia" w:ascii="方正小标宋简体" w:hAnsi="方正小标宋简体" w:eastAsia="方正小标宋简体" w:cs="方正小标宋简体"/>
          <w:sz w:val="30"/>
          <w:szCs w:val="30"/>
          <w:highlight w:val="none"/>
          <w:lang w:eastAsia="zh-CN"/>
        </w:rPr>
        <w:t>单位：</w:t>
      </w:r>
      <w:r>
        <w:rPr>
          <w:rFonts w:hint="eastAsia" w:ascii="方正小标宋简体" w:hAnsi="方正小标宋简体" w:eastAsia="方正小标宋简体" w:cs="方正小标宋简体"/>
          <w:sz w:val="30"/>
          <w:szCs w:val="30"/>
          <w:highlight w:val="none"/>
          <w:u w:val="single"/>
          <w:lang w:val="en-US" w:eastAsia="zh-CN"/>
        </w:rPr>
        <w:t xml:space="preserve">                       </w:t>
      </w:r>
      <w:r>
        <w:rPr>
          <w:rFonts w:hint="eastAsia" w:ascii="方正小标宋简体" w:hAnsi="方正小标宋简体" w:eastAsia="方正小标宋简体" w:cs="方正小标宋简体"/>
          <w:sz w:val="30"/>
          <w:szCs w:val="30"/>
          <w:highlight w:val="none"/>
          <w:lang w:val="en-US" w:eastAsia="zh-CN"/>
        </w:rPr>
        <w:t xml:space="preserve">                                         时间：</w:t>
      </w:r>
      <w:r>
        <w:rPr>
          <w:rFonts w:hint="eastAsia" w:ascii="方正小标宋简体" w:hAnsi="方正小标宋简体" w:eastAsia="方正小标宋简体" w:cs="方正小标宋简体"/>
          <w:sz w:val="44"/>
          <w:szCs w:val="44"/>
          <w:highlight w:val="none"/>
          <w:u w:val="single"/>
          <w:lang w:val="en-US" w:eastAsia="zh-CN"/>
        </w:rPr>
        <w:t xml:space="preserve">         </w:t>
      </w:r>
      <w:r>
        <w:rPr>
          <w:rFonts w:hint="eastAsia" w:ascii="方正小标宋简体" w:hAnsi="方正小标宋简体" w:eastAsia="方正小标宋简体" w:cs="方正小标宋简体"/>
          <w:sz w:val="44"/>
          <w:szCs w:val="44"/>
          <w:highlight w:val="none"/>
          <w:lang w:val="en-US" w:eastAsia="zh-CN"/>
        </w:rPr>
        <w:t xml:space="preserve">             </w:t>
      </w:r>
    </w:p>
    <w:tbl>
      <w:tblPr>
        <w:tblStyle w:val="2"/>
        <w:tblW w:w="13846" w:type="dxa"/>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1878"/>
        <w:gridCol w:w="3780"/>
        <w:gridCol w:w="2400"/>
        <w:gridCol w:w="1305"/>
        <w:gridCol w:w="1865"/>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0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cs="宋体"/>
                <w:i w:val="0"/>
                <w:iCs w:val="0"/>
                <w:color w:val="000000"/>
                <w:kern w:val="0"/>
                <w:sz w:val="22"/>
                <w:szCs w:val="22"/>
                <w:u w:val="none"/>
                <w:lang w:val="en-US" w:eastAsia="zh-CN" w:bidi="ar"/>
              </w:rPr>
              <w:t>(个)</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单价</w:t>
            </w:r>
          </w:p>
        </w:tc>
        <w:tc>
          <w:tcPr>
            <w:tcW w:w="163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外观尺寸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直径2640mm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高度3850mm</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mm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高度3080mm</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不小于10mm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直径1720mm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高度2200mm</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mm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高度1930mm</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mm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直径1320mm高度1700mm</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mm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22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其他费用</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0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80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0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left="838" w:leftChars="0" w:right="1117" w:rightChars="532" w:hanging="838" w:hangingChars="381"/>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u w:val="none"/>
          <w:lang w:val="en-US" w:eastAsia="zh-CN" w:bidi="ar"/>
        </w:rPr>
        <w:t>报价应为含税价，应含罐体、开口、出入水口及接口材料，罐体应在罐体开设符合接驳消防水管及一般水龙头的两种开口，提供出入水口</w:t>
      </w:r>
      <w:r>
        <w:rPr>
          <w:rFonts w:hint="eastAsia" w:ascii="宋体" w:hAnsi="宋体" w:cs="宋体"/>
          <w:i w:val="0"/>
          <w:iCs w:val="0"/>
          <w:color w:val="000000"/>
          <w:kern w:val="0"/>
          <w:sz w:val="22"/>
          <w:szCs w:val="22"/>
          <w:u w:val="none"/>
          <w:lang w:val="en-US" w:eastAsia="zh-CN" w:bidi="ar"/>
        </w:rPr>
        <w:t>、水龙头、</w:t>
      </w:r>
      <w:r>
        <w:rPr>
          <w:rFonts w:hint="eastAsia" w:ascii="宋体" w:hAnsi="宋体" w:eastAsia="宋体" w:cs="宋体"/>
          <w:i w:val="0"/>
          <w:iCs w:val="0"/>
          <w:color w:val="000000"/>
          <w:kern w:val="0"/>
          <w:sz w:val="22"/>
          <w:szCs w:val="22"/>
          <w:u w:val="none"/>
          <w:lang w:val="en-US" w:eastAsia="zh-CN" w:bidi="ar"/>
        </w:rPr>
        <w:t>接口材料及配件并负责安装。</w:t>
      </w:r>
    </w:p>
    <w:p>
      <w:pPr>
        <w:ind w:left="838" w:leftChars="399" w:right="1117" w:rightChars="532"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2、接驳消防水管及一般水龙头的两种开口及接口的配件及配件安装等内容。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3、本次采购罐体用于花都区各村山头的消防应急蓄水罐，须送货至各村山头山脚道路可达位置。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4、罐体应根据需要喷涂相关森林防火语和防止破坏等警示标。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5、罐体材料为户外使用，应耐高温、日晒、腐蚀，可采用LLDPE线性低密度聚乙烯材料。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6、应提供质检报告。</w:t>
      </w:r>
    </w:p>
    <w:p/>
    <w:sectPr>
      <w:pgSz w:w="16838" w:h="11906" w:orient="landscape"/>
      <w:pgMar w:top="720" w:right="720" w:bottom="720" w:left="72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943939-017A-44EE-B202-DCCDD3D60472}"/>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05FE4550-F2B4-430F-A152-AF8811E7B7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15F135A"/>
    <w:rsid w:val="015F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2022-10-21T04:50:00Z</dcterms:created>
  <dc:creator>陈小子</dc:creator>
  <cp:lastModifiedBy>陈小子</cp:lastModifiedBy>
  <dcterms:modified xsi:type="dcterms:W3CDTF">2022-10-21T04:51:12Z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9E5E3A69A56F48EC9F7AA6EBDC846E96</vt:lpwstr>
  </property>
</Properties>
</file>