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Arial"/>
          <w:b/>
          <w:sz w:val="30"/>
          <w:szCs w:val="30"/>
        </w:rPr>
      </w:pPr>
      <w:bookmarkStart w:id="0" w:name="_Toc46738290"/>
      <w:bookmarkStart w:id="1" w:name="_Toc46738417"/>
      <w:bookmarkStart w:id="2" w:name="_Toc75917307"/>
      <w:bookmarkStart w:id="3" w:name="_Toc359310573"/>
      <w:bookmarkStart w:id="4" w:name="_Toc518605395"/>
      <w:bookmarkStart w:id="5" w:name="_Toc46738156"/>
      <w:bookmarkStart w:id="6" w:name="_Toc535633952"/>
      <w:bookmarkStart w:id="7" w:name="_Toc12118373"/>
      <w:r>
        <w:rPr>
          <w:rFonts w:hint="eastAsia" w:ascii="微软雅黑" w:hAnsi="微软雅黑" w:eastAsia="微软雅黑" w:cs="Arial"/>
          <w:b/>
          <w:sz w:val="30"/>
          <w:szCs w:val="30"/>
        </w:rPr>
        <w:t>广州市规划和自然资源局花都区分局网络及终端设备运维服务采购项目</w:t>
      </w:r>
      <w:r>
        <w:rPr>
          <w:rFonts w:hint="eastAsia" w:ascii="微软雅黑" w:hAnsi="微软雅黑" w:eastAsia="微软雅黑" w:cs="Arial"/>
          <w:b/>
          <w:sz w:val="28"/>
          <w:szCs w:val="28"/>
        </w:rPr>
        <w:t>采购需求</w:t>
      </w:r>
      <w:bookmarkStart w:id="89" w:name="_GoBack"/>
      <w:bookmarkEnd w:id="89"/>
    </w:p>
    <w:tbl>
      <w:tblPr>
        <w:tblStyle w:val="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85"/>
        <w:gridCol w:w="978"/>
        <w:gridCol w:w="33"/>
        <w:gridCol w:w="5070"/>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微软雅黑" w:hAnsi="微软雅黑" w:eastAsia="微软雅黑" w:cs="宋体"/>
                <w:sz w:val="24"/>
              </w:rPr>
            </w:pPr>
            <w:r>
              <w:rPr>
                <w:rFonts w:hint="eastAsia" w:ascii="微软雅黑" w:hAnsi="微软雅黑" w:eastAsia="微软雅黑"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spacing w:line="360" w:lineRule="auto"/>
              <w:jc w:val="center"/>
              <w:rPr>
                <w:rFonts w:ascii="微软雅黑" w:hAnsi="微软雅黑" w:eastAsia="微软雅黑"/>
                <w:sz w:val="24"/>
              </w:rPr>
            </w:pPr>
            <w:r>
              <w:rPr>
                <w:rFonts w:hint="eastAsia" w:ascii="微软雅黑" w:hAnsi="微软雅黑" w:eastAsia="微软雅黑"/>
                <w:sz w:val="24"/>
              </w:rPr>
              <w:t>1</w:t>
            </w:r>
          </w:p>
        </w:tc>
        <w:tc>
          <w:tcPr>
            <w:tcW w:w="8887" w:type="dxa"/>
            <w:gridSpan w:val="5"/>
            <w:vAlign w:val="center"/>
          </w:tcPr>
          <w:p>
            <w:pPr>
              <w:pStyle w:val="11"/>
              <w:numPr>
                <w:ilvl w:val="0"/>
                <w:numId w:val="1"/>
              </w:numPr>
              <w:spacing w:line="360" w:lineRule="auto"/>
              <w:ind w:firstLineChars="0"/>
              <w:jc w:val="left"/>
              <w:rPr>
                <w:rStyle w:val="12"/>
                <w:rFonts w:ascii="微软雅黑" w:hAnsi="微软雅黑" w:eastAsia="微软雅黑"/>
                <w:sz w:val="24"/>
              </w:rPr>
            </w:pPr>
            <w:r>
              <w:rPr>
                <w:rFonts w:hint="eastAsia" w:ascii="微软雅黑" w:hAnsi="微软雅黑" w:eastAsia="微软雅黑"/>
                <w:sz w:val="24"/>
              </w:rPr>
              <w:t>符合《政府采购法》第二十二条供应商资格条件</w:t>
            </w:r>
            <w:r>
              <w:rPr>
                <w:rFonts w:hint="eastAsia" w:ascii="微软雅黑" w:hAnsi="微软雅黑" w:eastAsia="微软雅黑" w:cs="Arial"/>
                <w:sz w:val="24"/>
              </w:rPr>
              <w:t>；</w:t>
            </w:r>
            <w:r>
              <w:rPr>
                <w:rStyle w:val="12"/>
                <w:rFonts w:hint="eastAsia" w:ascii="微软雅黑" w:hAnsi="微软雅黑" w:eastAsia="微软雅黑"/>
                <w:sz w:val="24"/>
              </w:rPr>
              <w:t>分公司投标的，必须由具有法人资格的总公司授权。</w:t>
            </w:r>
          </w:p>
          <w:p>
            <w:pPr>
              <w:pStyle w:val="11"/>
              <w:numPr>
                <w:ilvl w:val="0"/>
                <w:numId w:val="1"/>
              </w:numPr>
              <w:spacing w:line="360" w:lineRule="auto"/>
              <w:ind w:firstLineChars="0"/>
              <w:rPr>
                <w:rFonts w:ascii="微软雅黑" w:hAnsi="微软雅黑" w:eastAsia="微软雅黑"/>
                <w:sz w:val="24"/>
              </w:rPr>
            </w:pPr>
            <w:r>
              <w:rPr>
                <w:rFonts w:hint="eastAsia" w:ascii="微软雅黑" w:hAnsi="微软雅黑" w:eastAsia="微软雅黑"/>
                <w:sz w:val="24"/>
              </w:rPr>
              <w:t>在中华人民共和国注册的具有独立承担民事责任能力的法人或其他组织，具有相关业务经营资质，具备相关的项目工作经验和在花都区持续跟进服务的能力。</w:t>
            </w:r>
          </w:p>
          <w:p>
            <w:pPr>
              <w:pStyle w:val="11"/>
              <w:numPr>
                <w:ilvl w:val="0"/>
                <w:numId w:val="1"/>
              </w:numPr>
              <w:spacing w:line="360" w:lineRule="auto"/>
              <w:ind w:firstLineChars="0"/>
              <w:jc w:val="left"/>
              <w:rPr>
                <w:rFonts w:ascii="微软雅黑" w:hAnsi="微软雅黑" w:eastAsia="微软雅黑"/>
                <w:sz w:val="24"/>
              </w:rPr>
            </w:pPr>
            <w:r>
              <w:rPr>
                <w:rFonts w:hint="eastAsia" w:ascii="微软雅黑" w:hAnsi="微软雅黑" w:eastAsia="微软雅黑"/>
                <w:sz w:val="24"/>
              </w:rPr>
              <w:t>具有增值电信业务经营许可证书</w:t>
            </w:r>
          </w:p>
          <w:p>
            <w:pPr>
              <w:pStyle w:val="11"/>
              <w:numPr>
                <w:ilvl w:val="0"/>
                <w:numId w:val="1"/>
              </w:numPr>
              <w:spacing w:line="360" w:lineRule="auto"/>
              <w:ind w:firstLineChars="0"/>
              <w:rPr>
                <w:rFonts w:ascii="微软雅黑" w:hAnsi="微软雅黑" w:eastAsia="微软雅黑"/>
                <w:sz w:val="24"/>
              </w:rPr>
            </w:pPr>
            <w:r>
              <w:rPr>
                <w:rFonts w:hint="eastAsia" w:ascii="微软雅黑" w:hAnsi="微软雅黑" w:eastAsia="微软雅黑"/>
                <w:sz w:val="24"/>
              </w:rPr>
              <w:t>成交供应商需承诺按照《中华人民共和国社会保险法》和《住房公积金管理条例》的相关规定，对本项目运维驻场人员支付国家规定必须购买的社会保险费用（基本养老保险、基本医疗保险、工伤保险、失业保险、生育保险）和缴存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微软雅黑" w:hAnsi="微软雅黑" w:eastAsia="微软雅黑"/>
                <w:sz w:val="24"/>
              </w:rPr>
            </w:pPr>
            <w:r>
              <w:rPr>
                <w:rFonts w:hint="eastAsia" w:ascii="微软雅黑" w:hAnsi="微软雅黑" w:eastAsia="微软雅黑" w:cs="宋体"/>
                <w:sz w:val="24"/>
              </w:rPr>
              <w:t>采购范围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Align w:val="center"/>
          </w:tcPr>
          <w:p>
            <w:pPr>
              <w:spacing w:line="360" w:lineRule="auto"/>
              <w:jc w:val="center"/>
              <w:rPr>
                <w:rFonts w:ascii="微软雅黑" w:hAnsi="微软雅黑" w:eastAsia="微软雅黑" w:cs="宋体"/>
                <w:sz w:val="24"/>
              </w:rPr>
            </w:pPr>
            <w:r>
              <w:rPr>
                <w:rFonts w:hint="eastAsia" w:ascii="微软雅黑" w:hAnsi="微软雅黑" w:eastAsia="微软雅黑" w:cs="宋体"/>
                <w:sz w:val="24"/>
              </w:rPr>
              <w:t>1</w:t>
            </w:r>
          </w:p>
        </w:tc>
        <w:tc>
          <w:tcPr>
            <w:tcW w:w="1796" w:type="dxa"/>
            <w:gridSpan w:val="3"/>
            <w:vAlign w:val="center"/>
          </w:tcPr>
          <w:p>
            <w:pPr>
              <w:spacing w:line="360" w:lineRule="auto"/>
              <w:jc w:val="center"/>
              <w:rPr>
                <w:rFonts w:ascii="微软雅黑" w:hAnsi="微软雅黑" w:eastAsia="微软雅黑" w:cs="宋体"/>
                <w:sz w:val="24"/>
              </w:rPr>
            </w:pPr>
            <w:r>
              <w:rPr>
                <w:rFonts w:hint="eastAsia" w:ascii="微软雅黑" w:hAnsi="微软雅黑" w:eastAsia="微软雅黑"/>
                <w:sz w:val="24"/>
              </w:rPr>
              <w:t>采购内容</w:t>
            </w:r>
          </w:p>
        </w:tc>
        <w:tc>
          <w:tcPr>
            <w:tcW w:w="7091" w:type="dxa"/>
            <w:gridSpan w:val="2"/>
            <w:vAlign w:val="center"/>
          </w:tcPr>
          <w:p>
            <w:pPr>
              <w:pStyle w:val="3"/>
              <w:ind w:left="0" w:firstLine="480" w:firstLineChars="200"/>
              <w:rPr>
                <w:rFonts w:ascii="微软雅黑" w:hAnsi="微软雅黑" w:eastAsia="微软雅黑" w:cs="仿宋_GB2312"/>
                <w:szCs w:val="24"/>
              </w:rPr>
            </w:pPr>
            <w:r>
              <w:rPr>
                <w:rFonts w:hint="eastAsia" w:ascii="微软雅黑" w:hAnsi="微软雅黑" w:eastAsia="微软雅黑"/>
              </w:rPr>
              <w:t>广州市规划和自然资源局花都区分局网络及终端设备运维服务采购项目需求如下：</w:t>
            </w:r>
            <w:r>
              <w:rPr>
                <w:rFonts w:hint="eastAsia" w:ascii="微软雅黑" w:hAnsi="微软雅黑" w:eastAsia="微软雅黑" w:cs="仿宋_GB2312"/>
                <w:szCs w:val="24"/>
              </w:rPr>
              <w:t>网络设备维护及安全服务、会议系统</w:t>
            </w:r>
          </w:p>
          <w:p>
            <w:pPr>
              <w:spacing w:line="360" w:lineRule="auto"/>
              <w:rPr>
                <w:rFonts w:ascii="微软雅黑" w:hAnsi="微软雅黑" w:eastAsia="微软雅黑" w:cs="宋体"/>
                <w:sz w:val="24"/>
              </w:rPr>
            </w:pPr>
            <w:r>
              <w:rPr>
                <w:rFonts w:hint="eastAsia" w:ascii="微软雅黑" w:hAnsi="微软雅黑" w:eastAsia="微软雅黑" w:cs="仿宋_GB2312"/>
                <w:sz w:val="24"/>
              </w:rPr>
              <w:t>、桌面及终端设备进行一年维护。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微软雅黑" w:hAnsi="微软雅黑" w:eastAsia="微软雅黑" w:cs="宋体"/>
                <w:sz w:val="24"/>
              </w:rPr>
            </w:pPr>
            <w:r>
              <w:rPr>
                <w:rFonts w:hint="eastAsia" w:ascii="微软雅黑" w:hAnsi="微软雅黑" w:eastAsia="微软雅黑" w:cs="宋体"/>
                <w:sz w:val="24"/>
              </w:rPr>
              <w:t>项目工期要求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628" w:type="dxa"/>
            <w:gridSpan w:val="6"/>
            <w:vAlign w:val="center"/>
          </w:tcPr>
          <w:p>
            <w:pPr>
              <w:spacing w:line="360" w:lineRule="auto"/>
              <w:ind w:right="-53" w:firstLine="430"/>
              <w:rPr>
                <w:rFonts w:ascii="微软雅黑" w:hAnsi="微软雅黑" w:eastAsia="微软雅黑" w:cs="Arial"/>
                <w:sz w:val="24"/>
              </w:rPr>
            </w:pPr>
            <w:r>
              <w:rPr>
                <w:rFonts w:hint="eastAsia" w:ascii="微软雅黑" w:hAnsi="微软雅黑" w:eastAsia="微软雅黑" w:cs="Arial"/>
                <w:sz w:val="24"/>
              </w:rPr>
              <w:t>□从</w:t>
            </w:r>
            <w:r>
              <w:rPr>
                <w:rFonts w:hint="eastAsia" w:ascii="微软雅黑" w:hAnsi="微软雅黑" w:eastAsia="微软雅黑"/>
                <w:sz w:val="24"/>
              </w:rPr>
              <w:t xml:space="preserve">合同签订之日起 </w:t>
            </w:r>
            <w:r>
              <w:rPr>
                <w:rFonts w:hint="eastAsia" w:ascii="微软雅黑" w:hAnsi="微软雅黑" w:eastAsia="微软雅黑"/>
                <w:sz w:val="24"/>
                <w:u w:val="single"/>
              </w:rPr>
              <w:t xml:space="preserve">    12  </w:t>
            </w:r>
            <w:r>
              <w:rPr>
                <w:rFonts w:hint="eastAsia" w:ascii="微软雅黑" w:hAnsi="微软雅黑" w:eastAsia="微软雅黑"/>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微软雅黑" w:hAnsi="微软雅黑" w:eastAsia="微软雅黑"/>
                <w:sz w:val="24"/>
              </w:rPr>
            </w:pPr>
            <w:r>
              <w:rPr>
                <w:rFonts w:hint="eastAsia" w:ascii="微软雅黑" w:hAnsi="微软雅黑" w:eastAsia="微软雅黑" w:cs="宋体"/>
                <w:sz w:val="24"/>
              </w:rPr>
              <w:t>项目背景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pStyle w:val="13"/>
              <w:spacing w:before="312" w:beforeLines="100" w:after="312" w:afterLines="100" w:line="360" w:lineRule="auto"/>
              <w:ind w:firstLine="480" w:firstLineChars="200"/>
              <w:jc w:val="left"/>
              <w:rPr>
                <w:rFonts w:ascii="微软雅黑" w:hAnsi="微软雅黑" w:eastAsia="微软雅黑"/>
                <w:sz w:val="24"/>
              </w:rPr>
            </w:pPr>
            <w:r>
              <w:rPr>
                <w:rFonts w:hint="eastAsia" w:ascii="微软雅黑" w:hAnsi="微软雅黑" w:eastAsia="微软雅黑"/>
                <w:sz w:val="24"/>
              </w:rPr>
              <w:t>随着政府机关业务信息化程度的提高，对信息化系统的稳定运行要求越来越高，政府单位内部、外部用户都对信息部门的技术支持服务提出了很高的要求。市规划和自然资源局花都区分局桌面终端数量多，网络复杂，终端分布广、使用人员类别复杂，桌面计算机事件和问题日益增多，依靠市规划和自然资源局花都区分局自有技术力量无法应付，信息化运维承受巨大的压力，每天面对大量的技术问题，为了全面提升IT服务水平，整合IT管理流程，优化IT资源配置，使我局人员可以集中精力进行规划、管理和辅助决策等建设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微软雅黑" w:hAnsi="微软雅黑" w:eastAsia="微软雅黑"/>
                <w:sz w:val="24"/>
              </w:rPr>
            </w:pPr>
            <w:r>
              <w:rPr>
                <w:rFonts w:hint="eastAsia" w:ascii="微软雅黑" w:hAnsi="微软雅黑" w:eastAsia="微软雅黑" w:cs="宋体"/>
                <w:sz w:val="24"/>
              </w:rPr>
              <w:t>运维目标需求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0" w:hRule="atLeast"/>
          <w:jc w:val="center"/>
        </w:trPr>
        <w:tc>
          <w:tcPr>
            <w:tcW w:w="9628" w:type="dxa"/>
            <w:gridSpan w:val="6"/>
            <w:vAlign w:val="center"/>
          </w:tcPr>
          <w:p>
            <w:pPr>
              <w:spacing w:line="360" w:lineRule="auto"/>
              <w:ind w:firstLine="560"/>
              <w:rPr>
                <w:rFonts w:ascii="微软雅黑" w:hAnsi="微软雅黑" w:eastAsia="微软雅黑" w:cs="仿宋_GB2312"/>
                <w:b/>
                <w:sz w:val="24"/>
              </w:rPr>
            </w:pPr>
            <w:r>
              <w:rPr>
                <w:rFonts w:hint="eastAsia" w:ascii="微软雅黑" w:hAnsi="微软雅黑" w:eastAsia="微软雅黑" w:cs="仿宋_GB2312"/>
                <w:b/>
                <w:sz w:val="24"/>
              </w:rPr>
              <w:t>项目具体的维护目标预定如下：</w:t>
            </w:r>
          </w:p>
          <w:p>
            <w:pPr>
              <w:spacing w:line="360" w:lineRule="auto"/>
              <w:ind w:firstLine="480" w:firstLineChars="200"/>
              <w:rPr>
                <w:rFonts w:ascii="微软雅黑" w:hAnsi="微软雅黑" w:eastAsia="微软雅黑"/>
                <w:sz w:val="24"/>
              </w:rPr>
            </w:pPr>
            <w:r>
              <w:rPr>
                <w:rFonts w:hint="eastAsia" w:ascii="微软雅黑" w:hAnsi="微软雅黑" w:eastAsia="微软雅黑"/>
                <w:sz w:val="24"/>
              </w:rPr>
              <w:t>本期运维项目的总体目标是在现有维护体系的基础上，进一步完善和提升系统运维的手段和内容，维护广州市规划和自然资源局花都区分局、各镇街规划和自然资源所，确保日常办公及对外办事窗口等业务的稳定运行。</w:t>
            </w:r>
          </w:p>
          <w:p>
            <w:pPr>
              <w:spacing w:line="360" w:lineRule="auto"/>
              <w:ind w:firstLine="480" w:firstLineChars="200"/>
              <w:rPr>
                <w:rFonts w:ascii="微软雅黑" w:hAnsi="微软雅黑" w:eastAsia="微软雅黑"/>
                <w:sz w:val="24"/>
              </w:rPr>
            </w:pPr>
          </w:p>
          <w:tbl>
            <w:tblPr>
              <w:tblStyle w:val="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7"/>
              <w:gridCol w:w="5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2"/>
                  <w:vAlign w:val="center"/>
                </w:tcPr>
                <w:p>
                  <w:pPr>
                    <w:spacing w:line="360" w:lineRule="auto"/>
                    <w:rPr>
                      <w:rFonts w:ascii="微软雅黑" w:hAnsi="微软雅黑" w:eastAsia="微软雅黑"/>
                      <w:sz w:val="24"/>
                    </w:rPr>
                  </w:pPr>
                  <w:r>
                    <w:rPr>
                      <w:rFonts w:hint="eastAsia" w:ascii="微软雅黑" w:hAnsi="微软雅黑" w:eastAsia="微软雅黑" w:cs="宋体"/>
                      <w:sz w:val="24"/>
                    </w:rPr>
                    <w:t>运维服务的范围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347" w:type="dxa"/>
                  <w:vAlign w:val="center"/>
                </w:tcPr>
                <w:p>
                  <w:pPr>
                    <w:pStyle w:val="6"/>
                    <w:shd w:val="clear" w:color="auto" w:fill="FFFFFF"/>
                    <w:spacing w:before="150" w:after="150" w:line="435" w:lineRule="atLeast"/>
                    <w:ind w:firstLine="480" w:firstLineChars="200"/>
                    <w:rPr>
                      <w:rFonts w:ascii="微软雅黑" w:hAnsi="微软雅黑" w:eastAsia="微软雅黑"/>
                      <w:sz w:val="24"/>
                    </w:rPr>
                  </w:pPr>
                  <w:r>
                    <w:rPr>
                      <w:rFonts w:hint="eastAsia" w:ascii="微软雅黑" w:hAnsi="MS Gothic" w:eastAsia="MS Gothic" w:cs="MS Gothic"/>
                      <w:sz w:val="24"/>
                      <w:szCs w:val="24"/>
                    </w:rPr>
                    <w:t>☑</w:t>
                  </w:r>
                  <w:r>
                    <w:rPr>
                      <w:rFonts w:hint="eastAsia" w:ascii="微软雅黑" w:hAnsi="微软雅黑" w:eastAsia="微软雅黑"/>
                      <w:sz w:val="24"/>
                    </w:rPr>
                    <w:t>信息化基础设备设施维护</w:t>
                  </w:r>
                </w:p>
                <w:p>
                  <w:pPr>
                    <w:pStyle w:val="6"/>
                    <w:shd w:val="clear" w:color="auto" w:fill="FFFFFF"/>
                    <w:spacing w:before="150" w:after="150" w:line="435" w:lineRule="atLeast"/>
                    <w:ind w:firstLine="480" w:firstLineChars="200"/>
                    <w:rPr>
                      <w:rFonts w:ascii="微软雅黑" w:hAnsi="微软雅黑" w:eastAsia="微软雅黑" w:cs="宋体"/>
                      <w:sz w:val="24"/>
                      <w:szCs w:val="24"/>
                    </w:rPr>
                  </w:pPr>
                  <w:r>
                    <w:rPr>
                      <w:rFonts w:hint="eastAsia" w:ascii="微软雅黑" w:hAnsi="微软雅黑" w:eastAsia="微软雅黑"/>
                      <w:sz w:val="24"/>
                    </w:rPr>
                    <w:t>（审批管理科统筹）</w:t>
                  </w:r>
                </w:p>
              </w:tc>
              <w:tc>
                <w:tcPr>
                  <w:tcW w:w="5281" w:type="dxa"/>
                  <w:vAlign w:val="center"/>
                </w:tcPr>
                <w:p>
                  <w:pPr>
                    <w:spacing w:line="360" w:lineRule="auto"/>
                    <w:ind w:right="-53" w:firstLine="430"/>
                    <w:rPr>
                      <w:rFonts w:ascii="微软雅黑" w:hAnsi="微软雅黑" w:eastAsia="微软雅黑" w:cs="Arial"/>
                      <w:sz w:val="24"/>
                    </w:rPr>
                  </w:pPr>
                  <w:r>
                    <w:rPr>
                      <w:rFonts w:hint="eastAsia" w:ascii="微软雅黑" w:hAnsi="MS Gothic" w:eastAsia="MS Gothic" w:cs="MS Gothic"/>
                      <w:sz w:val="24"/>
                    </w:rPr>
                    <w:t>☑</w:t>
                  </w:r>
                  <w:r>
                    <w:rPr>
                      <w:rFonts w:hint="eastAsia" w:ascii="微软雅黑" w:hAnsi="微软雅黑" w:eastAsia="微软雅黑" w:cs="Arial"/>
                      <w:sz w:val="24"/>
                    </w:rPr>
                    <w:t>服务器与相关设备维护</w:t>
                  </w:r>
                </w:p>
                <w:p>
                  <w:pPr>
                    <w:spacing w:line="360" w:lineRule="auto"/>
                    <w:ind w:right="-53" w:firstLine="430"/>
                    <w:rPr>
                      <w:rFonts w:ascii="微软雅黑" w:hAnsi="微软雅黑" w:eastAsia="微软雅黑" w:cs="Arial"/>
                      <w:sz w:val="24"/>
                    </w:rPr>
                  </w:pPr>
                  <w:r>
                    <w:rPr>
                      <w:rFonts w:hint="eastAsia" w:ascii="微软雅黑" w:hAnsi="MS Gothic" w:eastAsia="MS Gothic" w:cs="MS Gothic"/>
                      <w:sz w:val="24"/>
                    </w:rPr>
                    <w:t>☑</w:t>
                  </w:r>
                  <w:r>
                    <w:rPr>
                      <w:rFonts w:hint="eastAsia" w:ascii="微软雅黑" w:hAnsi="微软雅黑" w:eastAsia="微软雅黑" w:cs="Arial"/>
                      <w:sz w:val="24"/>
                    </w:rPr>
                    <w:t>办公自动化设备维护</w:t>
                  </w:r>
                </w:p>
                <w:p>
                  <w:pPr>
                    <w:spacing w:line="360" w:lineRule="auto"/>
                    <w:ind w:right="-53" w:firstLine="430"/>
                    <w:rPr>
                      <w:rFonts w:ascii="微软雅黑" w:hAnsi="微软雅黑" w:eastAsia="微软雅黑" w:cs="Arial"/>
                      <w:sz w:val="24"/>
                    </w:rPr>
                  </w:pPr>
                  <w:r>
                    <w:rPr>
                      <w:rFonts w:hint="eastAsia" w:ascii="微软雅黑" w:hAnsi="MS Gothic" w:eastAsia="MS Gothic" w:cs="MS Gothic"/>
                      <w:sz w:val="24"/>
                    </w:rPr>
                    <w:t>☑</w:t>
                  </w:r>
                  <w:r>
                    <w:rPr>
                      <w:rFonts w:hint="eastAsia" w:ascii="微软雅黑" w:hAnsi="微软雅黑" w:eastAsia="微软雅黑" w:cs="Arial"/>
                      <w:sz w:val="24"/>
                    </w:rPr>
                    <w:t>网络和信息安全设备维护</w:t>
                  </w:r>
                </w:p>
                <w:p>
                  <w:pPr>
                    <w:spacing w:line="360" w:lineRule="auto"/>
                    <w:ind w:right="-53" w:firstLine="430"/>
                    <w:rPr>
                      <w:rFonts w:ascii="微软雅黑" w:hAnsi="微软雅黑" w:eastAsia="微软雅黑" w:cs="Arial"/>
                      <w:sz w:val="24"/>
                    </w:rPr>
                  </w:pPr>
                  <w:r>
                    <w:rPr>
                      <w:rFonts w:hint="eastAsia" w:ascii="微软雅黑" w:hAnsi="MS Gothic" w:eastAsia="MS Gothic" w:cs="MS Gothic"/>
                      <w:sz w:val="24"/>
                    </w:rPr>
                    <w:t>☑</w:t>
                  </w:r>
                  <w:r>
                    <w:rPr>
                      <w:rFonts w:hint="eastAsia" w:ascii="微软雅黑" w:hAnsi="微软雅黑" w:eastAsia="微软雅黑" w:cs="Arial"/>
                      <w:sz w:val="24"/>
                    </w:rPr>
                    <w:t>机房环境维护</w:t>
                  </w:r>
                </w:p>
                <w:p>
                  <w:pPr>
                    <w:spacing w:line="360" w:lineRule="auto"/>
                    <w:ind w:right="-53" w:firstLine="430"/>
                    <w:rPr>
                      <w:rFonts w:hint="eastAsia" w:ascii="微软雅黑" w:hAnsi="微软雅黑" w:eastAsia="微软雅黑" w:cs="Arial"/>
                      <w:sz w:val="24"/>
                    </w:rPr>
                  </w:pPr>
                  <w:r>
                    <w:rPr>
                      <w:rFonts w:hint="eastAsia" w:ascii="微软雅黑" w:hAnsi="MS Gothic" w:eastAsia="MS Gothic" w:cs="MS Gothic"/>
                      <w:sz w:val="24"/>
                    </w:rPr>
                    <w:t>☑</w:t>
                  </w:r>
                  <w:r>
                    <w:rPr>
                      <w:rFonts w:hint="eastAsia" w:cs="MS Gothic" w:asciiTheme="minorEastAsia" w:hAnsiTheme="minorEastAsia" w:eastAsiaTheme="minorEastAsia"/>
                      <w:sz w:val="24"/>
                    </w:rPr>
                    <w:t>网络配线间线路维护，规范标识及配线方式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4347" w:type="dxa"/>
                  <w:vAlign w:val="bottom"/>
                </w:tcPr>
                <w:p>
                  <w:pPr>
                    <w:pStyle w:val="6"/>
                    <w:shd w:val="clear" w:color="auto" w:fill="FFFFFF"/>
                    <w:spacing w:before="150" w:after="150" w:line="360" w:lineRule="auto"/>
                    <w:ind w:firstLine="480" w:firstLineChars="200"/>
                    <w:jc w:val="both"/>
                    <w:rPr>
                      <w:rFonts w:ascii="微软雅黑" w:hAnsi="微软雅黑" w:eastAsia="微软雅黑"/>
                      <w:sz w:val="24"/>
                    </w:rPr>
                  </w:pPr>
                  <w:r>
                    <w:rPr>
                      <w:rFonts w:hint="eastAsia" w:ascii="微软雅黑" w:hAnsi="MS Gothic" w:eastAsia="MS Gothic" w:cs="MS Gothic"/>
                      <w:sz w:val="24"/>
                      <w:szCs w:val="24"/>
                    </w:rPr>
                    <w:t>☑</w:t>
                  </w:r>
                  <w:r>
                    <w:rPr>
                      <w:rFonts w:hint="eastAsia" w:ascii="微软雅黑" w:hAnsi="微软雅黑" w:eastAsia="微软雅黑"/>
                      <w:sz w:val="24"/>
                    </w:rPr>
                    <w:t>大楼基础设施维护</w:t>
                  </w:r>
                </w:p>
                <w:p>
                  <w:pPr>
                    <w:pStyle w:val="6"/>
                    <w:shd w:val="clear" w:color="auto" w:fill="FFFFFF"/>
                    <w:spacing w:before="150" w:after="150" w:line="360" w:lineRule="auto"/>
                    <w:ind w:firstLine="480" w:firstLineChars="200"/>
                    <w:jc w:val="both"/>
                    <w:rPr>
                      <w:rFonts w:ascii="微软雅黑" w:hAnsi="微软雅黑" w:eastAsia="微软雅黑"/>
                      <w:sz w:val="24"/>
                    </w:rPr>
                  </w:pPr>
                  <w:r>
                    <w:rPr>
                      <w:rFonts w:hint="eastAsia" w:ascii="微软雅黑" w:hAnsi="微软雅黑" w:eastAsia="微软雅黑"/>
                      <w:sz w:val="24"/>
                    </w:rPr>
                    <w:t>（办公室统筹）</w:t>
                  </w:r>
                </w:p>
              </w:tc>
              <w:tc>
                <w:tcPr>
                  <w:tcW w:w="5281" w:type="dxa"/>
                  <w:vAlign w:val="center"/>
                </w:tcPr>
                <w:p>
                  <w:pPr>
                    <w:spacing w:line="360" w:lineRule="auto"/>
                    <w:ind w:right="-53" w:firstLine="430"/>
                    <w:rPr>
                      <w:rFonts w:ascii="微软雅黑" w:hAnsi="微软雅黑" w:eastAsia="微软雅黑" w:cs="Arial"/>
                      <w:sz w:val="24"/>
                    </w:rPr>
                  </w:pPr>
                  <w:r>
                    <w:rPr>
                      <w:rFonts w:hint="eastAsia" w:ascii="微软雅黑" w:hAnsi="MS Gothic" w:eastAsia="MS Gothic" w:cs="MS Gothic"/>
                      <w:sz w:val="24"/>
                    </w:rPr>
                    <w:t>☑</w:t>
                  </w:r>
                  <w:r>
                    <w:rPr>
                      <w:rFonts w:hint="eastAsia" w:ascii="微软雅黑" w:hAnsi="微软雅黑" w:eastAsia="微软雅黑" w:cs="Arial"/>
                      <w:sz w:val="24"/>
                    </w:rPr>
                    <w:t>会议室设备维护</w:t>
                  </w:r>
                </w:p>
                <w:p>
                  <w:pPr>
                    <w:spacing w:line="360" w:lineRule="auto"/>
                    <w:ind w:right="-53" w:firstLine="430"/>
                    <w:rPr>
                      <w:rFonts w:ascii="微软雅黑" w:hAnsi="微软雅黑" w:eastAsia="微软雅黑" w:cs="Arial"/>
                      <w:sz w:val="24"/>
                    </w:rPr>
                  </w:pPr>
                  <w:r>
                    <w:rPr>
                      <w:rFonts w:hint="eastAsia" w:ascii="微软雅黑" w:hAnsi="MS Gothic" w:eastAsia="MS Gothic" w:cs="MS Gothic"/>
                      <w:sz w:val="24"/>
                    </w:rPr>
                    <w:t>☑</w:t>
                  </w:r>
                  <w:r>
                    <w:rPr>
                      <w:rFonts w:hint="eastAsia" w:ascii="微软雅黑" w:hAnsi="微软雅黑" w:eastAsia="微软雅黑" w:cs="Arial"/>
                      <w:sz w:val="24"/>
                    </w:rPr>
                    <w:t>视频会议系统维护</w:t>
                  </w:r>
                </w:p>
                <w:p>
                  <w:pPr>
                    <w:spacing w:line="360" w:lineRule="auto"/>
                    <w:ind w:right="-53" w:firstLine="430"/>
                    <w:rPr>
                      <w:rFonts w:ascii="微软雅黑" w:hAnsi="MS Gothic" w:eastAsia="MS Gothic" w:cs="MS Gothic"/>
                      <w:sz w:val="24"/>
                    </w:rPr>
                  </w:pPr>
                  <w:r>
                    <w:rPr>
                      <w:rFonts w:hint="eastAsia" w:ascii="微软雅黑" w:hAnsi="MS Gothic" w:eastAsia="MS Gothic" w:cs="MS Gothic"/>
                      <w:sz w:val="24"/>
                    </w:rPr>
                    <w:t>☑</w:t>
                  </w:r>
                  <w:r>
                    <w:rPr>
                      <w:rFonts w:hint="eastAsia" w:ascii="微软雅黑" w:hAnsi="微软雅黑" w:eastAsia="微软雅黑" w:cs="Arial"/>
                      <w:sz w:val="24"/>
                    </w:rPr>
                    <w:t>视频监控系统维护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347" w:type="dxa"/>
                  <w:vAlign w:val="center"/>
                </w:tcPr>
                <w:p>
                  <w:pPr>
                    <w:spacing w:line="360" w:lineRule="auto"/>
                    <w:ind w:right="-53" w:firstLine="430"/>
                    <w:rPr>
                      <w:rFonts w:ascii="微软雅黑" w:hAnsi="MS Gothic" w:cs="MS Gothic"/>
                      <w:sz w:val="24"/>
                    </w:rPr>
                  </w:pPr>
                  <w:r>
                    <w:rPr>
                      <w:rFonts w:hint="eastAsia" w:ascii="微软雅黑" w:hAnsi="MS Gothic" w:eastAsia="MS Gothic" w:cs="MS Gothic"/>
                      <w:sz w:val="24"/>
                    </w:rPr>
                    <w:t>☑</w:t>
                  </w:r>
                  <w:r>
                    <w:rPr>
                      <w:rFonts w:hint="eastAsia" w:ascii="微软雅黑" w:hAnsi="微软雅黑" w:eastAsia="微软雅黑"/>
                      <w:kern w:val="0"/>
                      <w:sz w:val="24"/>
                    </w:rPr>
                    <w:t>软件及信息资源维护</w:t>
                  </w:r>
                </w:p>
              </w:tc>
              <w:tc>
                <w:tcPr>
                  <w:tcW w:w="5281" w:type="dxa"/>
                  <w:vAlign w:val="center"/>
                </w:tcPr>
                <w:p>
                  <w:pPr>
                    <w:spacing w:line="360" w:lineRule="auto"/>
                    <w:ind w:right="-53" w:firstLine="430"/>
                    <w:rPr>
                      <w:rFonts w:ascii="微软雅黑" w:hAnsi="微软雅黑" w:eastAsia="微软雅黑" w:cs="Arial"/>
                      <w:sz w:val="24"/>
                    </w:rPr>
                  </w:pPr>
                  <w:r>
                    <w:rPr>
                      <w:rFonts w:hint="eastAsia" w:ascii="微软雅黑" w:hAnsi="MS Gothic" w:eastAsia="MS Gothic" w:cs="MS Gothic"/>
                      <w:sz w:val="24"/>
                    </w:rPr>
                    <w:t>☑</w:t>
                  </w:r>
                  <w:r>
                    <w:rPr>
                      <w:rFonts w:hint="eastAsia" w:ascii="微软雅黑" w:hAnsi="微软雅黑" w:eastAsia="微软雅黑" w:cs="Arial"/>
                      <w:sz w:val="24"/>
                    </w:rPr>
                    <w:t>业务系统终端应用维护</w:t>
                  </w:r>
                </w:p>
                <w:p>
                  <w:pPr>
                    <w:spacing w:line="360" w:lineRule="auto"/>
                    <w:ind w:right="-53" w:firstLine="430"/>
                    <w:rPr>
                      <w:rFonts w:ascii="微软雅黑" w:hAnsi="MS Gothic" w:cs="MS Gothic"/>
                      <w:sz w:val="24"/>
                    </w:rPr>
                  </w:pPr>
                  <w:r>
                    <w:rPr>
                      <w:rFonts w:hint="eastAsia" w:ascii="微软雅黑" w:hAnsi="MS Gothic" w:eastAsia="MS Gothic" w:cs="MS Gothic"/>
                      <w:sz w:val="24"/>
                    </w:rPr>
                    <w:t>☑</w:t>
                  </w:r>
                  <w:r>
                    <w:rPr>
                      <w:rFonts w:hint="eastAsia" w:ascii="微软雅黑" w:hAnsi="微软雅黑" w:eastAsia="微软雅黑" w:cs="Arial"/>
                      <w:sz w:val="24"/>
                    </w:rPr>
                    <w:t>工具软件维护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7" w:type="dxa"/>
                  <w:vAlign w:val="center"/>
                </w:tcPr>
                <w:p>
                  <w:pPr>
                    <w:spacing w:line="360" w:lineRule="auto"/>
                    <w:ind w:right="-53" w:firstLine="430"/>
                    <w:rPr>
                      <w:rFonts w:ascii="微软雅黑" w:hAnsi="微软雅黑" w:eastAsia="微软雅黑" w:cs="Arial"/>
                      <w:sz w:val="24"/>
                    </w:rPr>
                  </w:pPr>
                  <w:r>
                    <w:rPr>
                      <w:rFonts w:hint="eastAsia" w:ascii="微软雅黑" w:hAnsi="微软雅黑" w:eastAsia="微软雅黑" w:cs="Arial"/>
                      <w:sz w:val="24"/>
                    </w:rPr>
                    <w:sym w:font="Wingdings 2" w:char="00A3"/>
                  </w:r>
                  <w:r>
                    <w:rPr>
                      <w:rFonts w:hint="eastAsia" w:ascii="微软雅黑" w:hAnsi="微软雅黑" w:eastAsia="微软雅黑"/>
                      <w:kern w:val="0"/>
                      <w:sz w:val="24"/>
                    </w:rPr>
                    <w:t>其他运维服务</w:t>
                  </w:r>
                </w:p>
              </w:tc>
              <w:tc>
                <w:tcPr>
                  <w:tcW w:w="5281" w:type="dxa"/>
                  <w:vAlign w:val="center"/>
                </w:tcPr>
                <w:p>
                  <w:pPr>
                    <w:spacing w:line="360" w:lineRule="auto"/>
                    <w:ind w:right="-53" w:firstLine="430"/>
                    <w:rPr>
                      <w:rFonts w:ascii="微软雅黑" w:hAnsi="微软雅黑" w:eastAsia="微软雅黑" w:cs="Arial"/>
                      <w:sz w:val="24"/>
                    </w:rPr>
                  </w:pPr>
                </w:p>
              </w:tc>
            </w:tr>
          </w:tbl>
          <w:p>
            <w:pPr>
              <w:spacing w:line="360" w:lineRule="auto"/>
              <w:ind w:firstLine="480" w:firstLineChars="200"/>
              <w:rPr>
                <w:rFonts w:ascii="微软雅黑" w:hAnsi="微软雅黑" w:eastAsia="微软雅黑"/>
                <w:sz w:val="24"/>
              </w:rPr>
            </w:pPr>
          </w:p>
          <w:p>
            <w:pPr>
              <w:pStyle w:val="14"/>
              <w:spacing w:line="360" w:lineRule="auto"/>
              <w:ind w:firstLine="480" w:firstLineChars="200"/>
              <w:rPr>
                <w:rFonts w:ascii="微软雅黑" w:hAnsi="微软雅黑" w:eastAsia="微软雅黑" w:cs="仿宋_GB2312"/>
                <w:b/>
                <w:sz w:val="24"/>
              </w:rPr>
            </w:pPr>
            <w:r>
              <w:rPr>
                <w:rFonts w:hint="eastAsia" w:ascii="微软雅黑" w:hAnsi="微软雅黑" w:eastAsia="微软雅黑" w:cs="仿宋_GB2312"/>
                <w:b/>
                <w:sz w:val="24"/>
              </w:rPr>
              <w:t>项目具体的维护需求如下：</w:t>
            </w:r>
          </w:p>
          <w:p>
            <w:pPr>
              <w:pStyle w:val="2"/>
              <w:ind w:firstLine="480" w:firstLineChars="200"/>
              <w:rPr>
                <w:rFonts w:ascii="微软雅黑" w:hAnsi="微软雅黑" w:eastAsia="微软雅黑" w:cs="仿宋_GB2312"/>
                <w:sz w:val="24"/>
                <w:szCs w:val="24"/>
              </w:rPr>
            </w:pPr>
            <w:r>
              <w:rPr>
                <w:rFonts w:hint="eastAsia" w:ascii="微软雅黑" w:hAnsi="微软雅黑" w:eastAsia="微软雅黑" w:cs="仿宋_GB2312"/>
                <w:sz w:val="24"/>
                <w:szCs w:val="24"/>
              </w:rPr>
              <w:t>1.网络设备维护及安全服务</w:t>
            </w:r>
          </w:p>
          <w:p>
            <w:pPr>
              <w:pStyle w:val="15"/>
              <w:numPr>
                <w:ilvl w:val="0"/>
                <w:numId w:val="2"/>
              </w:numPr>
              <w:spacing w:line="360" w:lineRule="auto"/>
              <w:ind w:left="-539" w:leftChars="-257" w:firstLine="539"/>
              <w:rPr>
                <w:rFonts w:ascii="仿宋_GB2312" w:eastAsia="仿宋_GB2312"/>
                <w:b/>
                <w:sz w:val="24"/>
                <w:szCs w:val="24"/>
              </w:rPr>
            </w:pPr>
            <w:r>
              <w:rPr>
                <w:rFonts w:hint="eastAsia" w:ascii="仿宋_GB2312" w:eastAsia="仿宋_GB2312"/>
                <w:b/>
                <w:sz w:val="24"/>
                <w:szCs w:val="24"/>
              </w:rPr>
              <w:t>八楼中心机房设备</w:t>
            </w:r>
          </w:p>
          <w:p>
            <w:pPr>
              <w:pStyle w:val="3"/>
              <w:rPr>
                <w:rFonts w:ascii="Times New Roman" w:hAnsi="Times New Roman" w:eastAsia="宋体" w:cs="Times New Roman"/>
                <w:szCs w:val="20"/>
              </w:rPr>
            </w:pPr>
          </w:p>
          <w:tbl>
            <w:tblPr>
              <w:tblStyle w:val="9"/>
              <w:tblW w:w="8882"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507"/>
              <w:gridCol w:w="2260"/>
              <w:gridCol w:w="2037"/>
              <w:gridCol w:w="89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ID</w:t>
                  </w:r>
                </w:p>
              </w:tc>
              <w:tc>
                <w:tcPr>
                  <w:tcW w:w="1507" w:type="dxa"/>
                </w:tcPr>
                <w:p>
                  <w:pPr>
                    <w:pStyle w:val="15"/>
                    <w:widowControl w:val="0"/>
                    <w:spacing w:line="360" w:lineRule="auto"/>
                    <w:jc w:val="both"/>
                    <w:rPr>
                      <w:b/>
                      <w:bCs/>
                    </w:rPr>
                  </w:pPr>
                  <w:r>
                    <w:rPr>
                      <w:rFonts w:hint="eastAsia" w:ascii="仿宋_GB2312" w:hAnsi="仿宋_GB2312" w:eastAsia="仿宋_GB2312" w:cs="仿宋_GB2312"/>
                      <w:b/>
                      <w:bCs/>
                      <w:sz w:val="24"/>
                      <w:szCs w:val="24"/>
                    </w:rPr>
                    <w:t>品牌</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型号</w:t>
                  </w:r>
                </w:p>
              </w:tc>
              <w:tc>
                <w:tcPr>
                  <w:tcW w:w="203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操作系统</w:t>
                  </w: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数量</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w:t>
                  </w:r>
                </w:p>
              </w:tc>
              <w:tc>
                <w:tcPr>
                  <w:tcW w:w="1507" w:type="dxa"/>
                </w:tcPr>
                <w:p>
                  <w:pPr>
                    <w:pStyle w:val="15"/>
                    <w:widowControl w:val="0"/>
                    <w:spacing w:line="360" w:lineRule="auto"/>
                    <w:jc w:val="both"/>
                    <w:rPr>
                      <w:b/>
                      <w:bCs/>
                    </w:rPr>
                  </w:pPr>
                  <w:r>
                    <w:rPr>
                      <w:rFonts w:hint="eastAsia"/>
                      <w:b/>
                      <w:bCs/>
                    </w:rPr>
                    <w:t>DELL</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PowerEdge 2850</w:t>
                  </w:r>
                </w:p>
              </w:tc>
              <w:tc>
                <w:tcPr>
                  <w:tcW w:w="203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Windows2003</w:t>
                  </w: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2</w:t>
                  </w:r>
                </w:p>
              </w:tc>
              <w:tc>
                <w:tcPr>
                  <w:tcW w:w="1507" w:type="dxa"/>
                </w:tcPr>
                <w:p>
                  <w:pPr>
                    <w:pStyle w:val="15"/>
                    <w:widowControl w:val="0"/>
                    <w:spacing w:line="360" w:lineRule="auto"/>
                    <w:jc w:val="both"/>
                    <w:rPr>
                      <w:b/>
                      <w:bCs/>
                    </w:rPr>
                  </w:pPr>
                  <w:r>
                    <w:rPr>
                      <w:rFonts w:hint="eastAsia"/>
                      <w:b/>
                      <w:bCs/>
                    </w:rPr>
                    <w:t>DELL</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PowerEdge 2850</w:t>
                  </w:r>
                </w:p>
              </w:tc>
              <w:tc>
                <w:tcPr>
                  <w:tcW w:w="203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Windows2003</w:t>
                  </w: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3</w:t>
                  </w:r>
                </w:p>
              </w:tc>
              <w:tc>
                <w:tcPr>
                  <w:tcW w:w="1507" w:type="dxa"/>
                </w:tcPr>
                <w:p>
                  <w:pPr>
                    <w:pStyle w:val="15"/>
                    <w:widowControl w:val="0"/>
                    <w:spacing w:line="360" w:lineRule="auto"/>
                    <w:jc w:val="both"/>
                    <w:rPr>
                      <w:b/>
                      <w:bCs/>
                    </w:rPr>
                  </w:pPr>
                  <w:r>
                    <w:rPr>
                      <w:rFonts w:hint="eastAsia"/>
                      <w:b/>
                      <w:bCs/>
                    </w:rPr>
                    <w:t>DELL</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PowerEdge 2950</w:t>
                  </w:r>
                </w:p>
              </w:tc>
              <w:tc>
                <w:tcPr>
                  <w:tcW w:w="203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Windows2003</w:t>
                  </w: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4</w:t>
                  </w:r>
                </w:p>
              </w:tc>
              <w:tc>
                <w:tcPr>
                  <w:tcW w:w="1507" w:type="dxa"/>
                </w:tcPr>
                <w:p>
                  <w:pPr>
                    <w:pStyle w:val="15"/>
                    <w:widowControl w:val="0"/>
                    <w:spacing w:line="360" w:lineRule="auto"/>
                    <w:jc w:val="both"/>
                    <w:rPr>
                      <w:b/>
                      <w:bCs/>
                    </w:rPr>
                  </w:pPr>
                  <w:r>
                    <w:rPr>
                      <w:rFonts w:hint="eastAsia"/>
                      <w:b/>
                      <w:bCs/>
                    </w:rPr>
                    <w:t>DELL</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PowerEdge R710</w:t>
                  </w:r>
                </w:p>
              </w:tc>
              <w:tc>
                <w:tcPr>
                  <w:tcW w:w="203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Windows2003</w:t>
                  </w: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5</w:t>
                  </w:r>
                </w:p>
              </w:tc>
              <w:tc>
                <w:tcPr>
                  <w:tcW w:w="1507" w:type="dxa"/>
                </w:tcPr>
                <w:p>
                  <w:pPr>
                    <w:pStyle w:val="15"/>
                    <w:widowControl w:val="0"/>
                    <w:spacing w:line="360" w:lineRule="auto"/>
                    <w:jc w:val="both"/>
                    <w:rPr>
                      <w:b/>
                      <w:bCs/>
                    </w:rPr>
                  </w:pPr>
                  <w:r>
                    <w:rPr>
                      <w:rFonts w:hint="eastAsia"/>
                      <w:b/>
                      <w:bCs/>
                    </w:rPr>
                    <w:t>DELL</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PowerEdge R710</w:t>
                  </w:r>
                </w:p>
              </w:tc>
              <w:tc>
                <w:tcPr>
                  <w:tcW w:w="203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Windows2008</w:t>
                  </w: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6</w:t>
                  </w:r>
                </w:p>
              </w:tc>
              <w:tc>
                <w:tcPr>
                  <w:tcW w:w="1507" w:type="dxa"/>
                </w:tcPr>
                <w:p>
                  <w:pPr>
                    <w:pStyle w:val="15"/>
                    <w:widowControl w:val="0"/>
                    <w:spacing w:line="360" w:lineRule="auto"/>
                    <w:jc w:val="both"/>
                    <w:rPr>
                      <w:b/>
                      <w:bCs/>
                    </w:rPr>
                  </w:pPr>
                  <w:r>
                    <w:rPr>
                      <w:rFonts w:hint="eastAsia"/>
                      <w:b/>
                      <w:bCs/>
                    </w:rPr>
                    <w:t>DELL</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PowerEdge R720</w:t>
                  </w:r>
                </w:p>
              </w:tc>
              <w:tc>
                <w:tcPr>
                  <w:tcW w:w="203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Windows2012</w:t>
                  </w: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7</w:t>
                  </w:r>
                </w:p>
              </w:tc>
              <w:tc>
                <w:tcPr>
                  <w:tcW w:w="1507" w:type="dxa"/>
                </w:tcPr>
                <w:p>
                  <w:pPr>
                    <w:pStyle w:val="15"/>
                    <w:widowControl w:val="0"/>
                    <w:spacing w:line="360" w:lineRule="auto"/>
                    <w:jc w:val="both"/>
                    <w:rPr>
                      <w:b/>
                      <w:bCs/>
                    </w:rPr>
                  </w:pPr>
                  <w:r>
                    <w:rPr>
                      <w:rFonts w:hint="eastAsia"/>
                      <w:b/>
                      <w:bCs/>
                    </w:rPr>
                    <w:t>HP</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ProLiant DL580 G7</w:t>
                  </w:r>
                </w:p>
              </w:tc>
              <w:tc>
                <w:tcPr>
                  <w:tcW w:w="203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Windows2008</w:t>
                  </w: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8</w:t>
                  </w:r>
                </w:p>
              </w:tc>
              <w:tc>
                <w:tcPr>
                  <w:tcW w:w="1507" w:type="dxa"/>
                </w:tcPr>
                <w:p>
                  <w:pPr>
                    <w:pStyle w:val="15"/>
                    <w:widowControl w:val="0"/>
                    <w:spacing w:line="360" w:lineRule="auto"/>
                    <w:jc w:val="both"/>
                    <w:rPr>
                      <w:b/>
                      <w:bCs/>
                    </w:rPr>
                  </w:pPr>
                  <w:r>
                    <w:rPr>
                      <w:rFonts w:hint="eastAsia"/>
                      <w:b/>
                      <w:bCs/>
                    </w:rPr>
                    <w:t>DELL</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PowerEdge R720</w:t>
                  </w:r>
                </w:p>
              </w:tc>
              <w:tc>
                <w:tcPr>
                  <w:tcW w:w="203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VMware vSphere 6</w:t>
                  </w: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4</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9</w:t>
                  </w:r>
                </w:p>
              </w:tc>
              <w:tc>
                <w:tcPr>
                  <w:tcW w:w="1507" w:type="dxa"/>
                </w:tcPr>
                <w:p>
                  <w:pPr>
                    <w:pStyle w:val="15"/>
                    <w:widowControl w:val="0"/>
                    <w:spacing w:line="360" w:lineRule="auto"/>
                    <w:jc w:val="both"/>
                    <w:rPr>
                      <w:b/>
                      <w:bCs/>
                    </w:rPr>
                  </w:pPr>
                  <w:r>
                    <w:rPr>
                      <w:rFonts w:hint="eastAsia"/>
                      <w:b/>
                      <w:bCs/>
                    </w:rPr>
                    <w:t>DELL</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MD3820f</w:t>
                  </w:r>
                </w:p>
              </w:tc>
              <w:tc>
                <w:tcPr>
                  <w:tcW w:w="2037" w:type="dxa"/>
                </w:tcPr>
                <w:p>
                  <w:pPr>
                    <w:pStyle w:val="15"/>
                    <w:widowControl w:val="0"/>
                    <w:spacing w:line="360" w:lineRule="auto"/>
                    <w:jc w:val="both"/>
                    <w:rPr>
                      <w:rFonts w:ascii="仿宋_GB2312" w:eastAsia="仿宋_GB2312"/>
                      <w:b/>
                      <w:sz w:val="24"/>
                      <w:szCs w:val="24"/>
                    </w:rPr>
                  </w:pP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10</w:t>
                  </w:r>
                </w:p>
              </w:tc>
              <w:tc>
                <w:tcPr>
                  <w:tcW w:w="1507" w:type="dxa"/>
                </w:tcPr>
                <w:p>
                  <w:pPr>
                    <w:pStyle w:val="15"/>
                    <w:widowControl w:val="0"/>
                    <w:spacing w:line="360" w:lineRule="auto"/>
                    <w:jc w:val="both"/>
                    <w:rPr>
                      <w:b/>
                      <w:bCs/>
                    </w:rPr>
                  </w:pPr>
                  <w:r>
                    <w:rPr>
                      <w:rFonts w:hint="eastAsia"/>
                      <w:b/>
                      <w:bCs/>
                    </w:rPr>
                    <w:t>IBM</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P550</w:t>
                  </w:r>
                </w:p>
              </w:tc>
              <w:tc>
                <w:tcPr>
                  <w:tcW w:w="203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AIX6.0</w:t>
                  </w: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11</w:t>
                  </w:r>
                </w:p>
              </w:tc>
              <w:tc>
                <w:tcPr>
                  <w:tcW w:w="1507" w:type="dxa"/>
                </w:tcPr>
                <w:p>
                  <w:pPr>
                    <w:pStyle w:val="15"/>
                    <w:widowControl w:val="0"/>
                    <w:spacing w:line="360" w:lineRule="auto"/>
                    <w:jc w:val="both"/>
                    <w:rPr>
                      <w:b/>
                      <w:bCs/>
                    </w:rPr>
                  </w:pPr>
                  <w:r>
                    <w:rPr>
                      <w:rFonts w:hint="eastAsia"/>
                      <w:b/>
                      <w:bCs/>
                    </w:rPr>
                    <w:t>IBM</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V7000</w:t>
                  </w:r>
                </w:p>
              </w:tc>
              <w:tc>
                <w:tcPr>
                  <w:tcW w:w="2037" w:type="dxa"/>
                </w:tcPr>
                <w:p>
                  <w:pPr>
                    <w:pStyle w:val="15"/>
                    <w:widowControl w:val="0"/>
                    <w:spacing w:line="360" w:lineRule="auto"/>
                    <w:jc w:val="both"/>
                    <w:rPr>
                      <w:rFonts w:ascii="仿宋_GB2312" w:eastAsia="仿宋_GB2312"/>
                      <w:b/>
                      <w:sz w:val="24"/>
                      <w:szCs w:val="24"/>
                    </w:rPr>
                  </w:pP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12</w:t>
                  </w:r>
                </w:p>
              </w:tc>
              <w:tc>
                <w:tcPr>
                  <w:tcW w:w="1507" w:type="dxa"/>
                </w:tcPr>
                <w:p>
                  <w:pPr>
                    <w:pStyle w:val="15"/>
                    <w:widowControl w:val="0"/>
                    <w:spacing w:line="360" w:lineRule="auto"/>
                    <w:jc w:val="both"/>
                    <w:rPr>
                      <w:b/>
                      <w:bCs/>
                    </w:rPr>
                  </w:pPr>
                  <w:r>
                    <w:rPr>
                      <w:rFonts w:hint="eastAsia"/>
                      <w:b/>
                      <w:bCs/>
                    </w:rPr>
                    <w:t>IBM</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DS5020</w:t>
                  </w:r>
                </w:p>
              </w:tc>
              <w:tc>
                <w:tcPr>
                  <w:tcW w:w="2037" w:type="dxa"/>
                </w:tcPr>
                <w:p>
                  <w:pPr>
                    <w:pStyle w:val="15"/>
                    <w:widowControl w:val="0"/>
                    <w:spacing w:line="360" w:lineRule="auto"/>
                    <w:jc w:val="both"/>
                    <w:rPr>
                      <w:rFonts w:ascii="仿宋_GB2312" w:eastAsia="仿宋_GB2312"/>
                      <w:b/>
                      <w:sz w:val="24"/>
                      <w:szCs w:val="24"/>
                    </w:rPr>
                  </w:pP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2</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13</w:t>
                  </w:r>
                </w:p>
              </w:tc>
              <w:tc>
                <w:tcPr>
                  <w:tcW w:w="1507" w:type="dxa"/>
                </w:tcPr>
                <w:p>
                  <w:pPr>
                    <w:pStyle w:val="15"/>
                    <w:widowControl w:val="0"/>
                    <w:spacing w:line="360" w:lineRule="auto"/>
                    <w:jc w:val="both"/>
                    <w:rPr>
                      <w:b/>
                      <w:bCs/>
                    </w:rPr>
                  </w:pPr>
                  <w:r>
                    <w:rPr>
                      <w:rFonts w:hint="eastAsia"/>
                      <w:b/>
                      <w:bCs/>
                    </w:rPr>
                    <w:t>绿盟</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NF NX3 Series</w:t>
                  </w:r>
                </w:p>
              </w:tc>
              <w:tc>
                <w:tcPr>
                  <w:tcW w:w="2037" w:type="dxa"/>
                </w:tcPr>
                <w:p>
                  <w:pPr>
                    <w:pStyle w:val="15"/>
                    <w:widowControl w:val="0"/>
                    <w:spacing w:line="360" w:lineRule="auto"/>
                    <w:jc w:val="both"/>
                    <w:rPr>
                      <w:rFonts w:ascii="仿宋_GB2312" w:eastAsia="仿宋_GB2312"/>
                      <w:b/>
                      <w:sz w:val="24"/>
                      <w:szCs w:val="24"/>
                    </w:rPr>
                  </w:pP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14</w:t>
                  </w:r>
                </w:p>
              </w:tc>
              <w:tc>
                <w:tcPr>
                  <w:tcW w:w="1507" w:type="dxa"/>
                </w:tcPr>
                <w:p>
                  <w:pPr>
                    <w:pStyle w:val="15"/>
                    <w:widowControl w:val="0"/>
                    <w:spacing w:line="360" w:lineRule="auto"/>
                    <w:jc w:val="both"/>
                    <w:rPr>
                      <w:b/>
                      <w:bCs/>
                    </w:rPr>
                  </w:pPr>
                  <w:r>
                    <w:rPr>
                      <w:rFonts w:hint="eastAsia"/>
                      <w:b/>
                      <w:bCs/>
                    </w:rPr>
                    <w:t>绿盟</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WAF NX3 Series</w:t>
                  </w:r>
                </w:p>
              </w:tc>
              <w:tc>
                <w:tcPr>
                  <w:tcW w:w="2037" w:type="dxa"/>
                </w:tcPr>
                <w:p>
                  <w:pPr>
                    <w:pStyle w:val="15"/>
                    <w:widowControl w:val="0"/>
                    <w:spacing w:line="360" w:lineRule="auto"/>
                    <w:jc w:val="both"/>
                    <w:rPr>
                      <w:rFonts w:ascii="仿宋_GB2312" w:eastAsia="仿宋_GB2312"/>
                      <w:b/>
                      <w:sz w:val="24"/>
                      <w:szCs w:val="24"/>
                    </w:rPr>
                  </w:pP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15</w:t>
                  </w:r>
                </w:p>
              </w:tc>
              <w:tc>
                <w:tcPr>
                  <w:tcW w:w="1507" w:type="dxa"/>
                </w:tcPr>
                <w:p>
                  <w:pPr>
                    <w:pStyle w:val="15"/>
                    <w:widowControl w:val="0"/>
                    <w:spacing w:line="360" w:lineRule="auto"/>
                    <w:jc w:val="both"/>
                    <w:rPr>
                      <w:b/>
                      <w:bCs/>
                    </w:rPr>
                  </w:pPr>
                  <w:r>
                    <w:rPr>
                      <w:rFonts w:hint="eastAsia"/>
                      <w:b/>
                      <w:bCs/>
                    </w:rPr>
                    <w:t>绿盟</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SAS NX3 Series</w:t>
                  </w:r>
                </w:p>
              </w:tc>
              <w:tc>
                <w:tcPr>
                  <w:tcW w:w="2037" w:type="dxa"/>
                </w:tcPr>
                <w:p>
                  <w:pPr>
                    <w:pStyle w:val="15"/>
                    <w:widowControl w:val="0"/>
                    <w:spacing w:line="360" w:lineRule="auto"/>
                    <w:jc w:val="both"/>
                    <w:rPr>
                      <w:rFonts w:ascii="仿宋_GB2312" w:eastAsia="仿宋_GB2312"/>
                      <w:b/>
                      <w:sz w:val="24"/>
                      <w:szCs w:val="24"/>
                    </w:rPr>
                  </w:pP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16</w:t>
                  </w:r>
                </w:p>
              </w:tc>
              <w:tc>
                <w:tcPr>
                  <w:tcW w:w="1507" w:type="dxa"/>
                </w:tcPr>
                <w:p>
                  <w:pPr>
                    <w:pStyle w:val="15"/>
                    <w:widowControl w:val="0"/>
                    <w:spacing w:line="360" w:lineRule="auto"/>
                    <w:jc w:val="both"/>
                    <w:rPr>
                      <w:b/>
                      <w:bCs/>
                    </w:rPr>
                  </w:pPr>
                  <w:r>
                    <w:rPr>
                      <w:rFonts w:hint="eastAsia"/>
                      <w:b/>
                      <w:bCs/>
                    </w:rPr>
                    <w:t>绿盟</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OSMS NX3 Series</w:t>
                  </w:r>
                </w:p>
              </w:tc>
              <w:tc>
                <w:tcPr>
                  <w:tcW w:w="2037" w:type="dxa"/>
                </w:tcPr>
                <w:p>
                  <w:pPr>
                    <w:pStyle w:val="15"/>
                    <w:widowControl w:val="0"/>
                    <w:spacing w:line="360" w:lineRule="auto"/>
                    <w:jc w:val="both"/>
                    <w:rPr>
                      <w:rFonts w:ascii="仿宋_GB2312" w:eastAsia="仿宋_GB2312"/>
                      <w:b/>
                      <w:sz w:val="24"/>
                      <w:szCs w:val="24"/>
                    </w:rPr>
                  </w:pP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17</w:t>
                  </w:r>
                </w:p>
              </w:tc>
              <w:tc>
                <w:tcPr>
                  <w:tcW w:w="1507" w:type="dxa"/>
                </w:tcPr>
                <w:p>
                  <w:pPr>
                    <w:pStyle w:val="15"/>
                    <w:widowControl w:val="0"/>
                    <w:spacing w:line="360" w:lineRule="auto"/>
                    <w:jc w:val="both"/>
                    <w:rPr>
                      <w:b/>
                      <w:bCs/>
                    </w:rPr>
                  </w:pPr>
                  <w:r>
                    <w:rPr>
                      <w:rFonts w:hint="eastAsia"/>
                      <w:b/>
                      <w:bCs/>
                    </w:rPr>
                    <w:t>绿盟</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SAS NX3 Series</w:t>
                  </w:r>
                </w:p>
              </w:tc>
              <w:tc>
                <w:tcPr>
                  <w:tcW w:w="2037" w:type="dxa"/>
                </w:tcPr>
                <w:p>
                  <w:pPr>
                    <w:pStyle w:val="15"/>
                    <w:widowControl w:val="0"/>
                    <w:spacing w:line="360" w:lineRule="auto"/>
                    <w:jc w:val="both"/>
                    <w:rPr>
                      <w:rFonts w:ascii="仿宋_GB2312" w:eastAsia="仿宋_GB2312"/>
                      <w:b/>
                      <w:sz w:val="24"/>
                      <w:szCs w:val="24"/>
                    </w:rPr>
                  </w:pP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18</w:t>
                  </w:r>
                </w:p>
              </w:tc>
              <w:tc>
                <w:tcPr>
                  <w:tcW w:w="1507" w:type="dxa"/>
                </w:tcPr>
                <w:p>
                  <w:pPr>
                    <w:pStyle w:val="15"/>
                    <w:widowControl w:val="0"/>
                    <w:spacing w:line="360" w:lineRule="auto"/>
                    <w:jc w:val="both"/>
                    <w:rPr>
                      <w:b/>
                      <w:bCs/>
                    </w:rPr>
                  </w:pPr>
                  <w:r>
                    <w:rPr>
                      <w:rFonts w:hint="eastAsia"/>
                      <w:b/>
                      <w:bCs/>
                    </w:rPr>
                    <w:t>DELL</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PowerEdge R740</w:t>
                  </w:r>
                </w:p>
              </w:tc>
              <w:tc>
                <w:tcPr>
                  <w:tcW w:w="203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VMware vSphere 6</w:t>
                  </w: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3</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19</w:t>
                  </w:r>
                </w:p>
              </w:tc>
              <w:tc>
                <w:tcPr>
                  <w:tcW w:w="1507" w:type="dxa"/>
                </w:tcPr>
                <w:p>
                  <w:pPr>
                    <w:pStyle w:val="15"/>
                    <w:widowControl w:val="0"/>
                    <w:spacing w:line="360" w:lineRule="auto"/>
                    <w:jc w:val="both"/>
                    <w:rPr>
                      <w:b/>
                      <w:bCs/>
                    </w:rPr>
                  </w:pPr>
                  <w:r>
                    <w:rPr>
                      <w:rFonts w:hint="eastAsia"/>
                      <w:b/>
                      <w:bCs/>
                    </w:rPr>
                    <w:t>DELL</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SC 5020</w:t>
                  </w:r>
                </w:p>
              </w:tc>
              <w:tc>
                <w:tcPr>
                  <w:tcW w:w="203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VMware vSphere 6</w:t>
                  </w: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20</w:t>
                  </w:r>
                </w:p>
              </w:tc>
              <w:tc>
                <w:tcPr>
                  <w:tcW w:w="1507" w:type="dxa"/>
                </w:tcPr>
                <w:p>
                  <w:pPr>
                    <w:pStyle w:val="15"/>
                    <w:widowControl w:val="0"/>
                    <w:spacing w:line="360" w:lineRule="auto"/>
                    <w:jc w:val="both"/>
                    <w:rPr>
                      <w:b/>
                      <w:bCs/>
                    </w:rPr>
                  </w:pPr>
                  <w:r>
                    <w:rPr>
                      <w:rFonts w:hint="eastAsia"/>
                      <w:b/>
                      <w:bCs/>
                    </w:rPr>
                    <w:t>DELL</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PowerVault MD1200</w:t>
                  </w:r>
                </w:p>
              </w:tc>
              <w:tc>
                <w:tcPr>
                  <w:tcW w:w="2037" w:type="dxa"/>
                </w:tcPr>
                <w:p>
                  <w:pPr>
                    <w:pStyle w:val="15"/>
                    <w:widowControl w:val="0"/>
                    <w:spacing w:line="360" w:lineRule="auto"/>
                    <w:jc w:val="both"/>
                    <w:rPr>
                      <w:rFonts w:ascii="仿宋_GB2312" w:eastAsia="仿宋_GB2312"/>
                      <w:b/>
                      <w:sz w:val="24"/>
                      <w:szCs w:val="24"/>
                    </w:rPr>
                  </w:pP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trPr>
              <w:tc>
                <w:tcPr>
                  <w:tcW w:w="598"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21</w:t>
                  </w:r>
                </w:p>
              </w:tc>
              <w:tc>
                <w:tcPr>
                  <w:tcW w:w="1507" w:type="dxa"/>
                </w:tcPr>
                <w:p>
                  <w:pPr>
                    <w:pStyle w:val="15"/>
                    <w:widowControl w:val="0"/>
                    <w:spacing w:line="360" w:lineRule="auto"/>
                    <w:jc w:val="both"/>
                    <w:rPr>
                      <w:b/>
                      <w:bCs/>
                    </w:rPr>
                  </w:pPr>
                  <w:r>
                    <w:rPr>
                      <w:rFonts w:hint="eastAsia"/>
                      <w:b/>
                      <w:bCs/>
                    </w:rPr>
                    <w:t>DELL</w:t>
                  </w:r>
                </w:p>
              </w:tc>
              <w:tc>
                <w:tcPr>
                  <w:tcW w:w="2260"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NX3240</w:t>
                  </w:r>
                </w:p>
              </w:tc>
              <w:tc>
                <w:tcPr>
                  <w:tcW w:w="203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Windows2016</w:t>
                  </w:r>
                </w:p>
              </w:tc>
              <w:tc>
                <w:tcPr>
                  <w:tcW w:w="893"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1</w:t>
                  </w:r>
                </w:p>
              </w:tc>
              <w:tc>
                <w:tcPr>
                  <w:tcW w:w="1587" w:type="dxa"/>
                </w:tcPr>
                <w:p>
                  <w:pPr>
                    <w:pStyle w:val="15"/>
                    <w:widowControl w:val="0"/>
                    <w:spacing w:line="360" w:lineRule="auto"/>
                    <w:jc w:val="both"/>
                    <w:rPr>
                      <w:rFonts w:ascii="仿宋_GB2312" w:eastAsia="仿宋_GB2312"/>
                      <w:b/>
                      <w:sz w:val="24"/>
                      <w:szCs w:val="24"/>
                    </w:rPr>
                  </w:pPr>
                  <w:r>
                    <w:rPr>
                      <w:rFonts w:hint="eastAsia" w:ascii="仿宋_GB2312" w:eastAsia="仿宋_GB2312"/>
                      <w:b/>
                      <w:sz w:val="24"/>
                      <w:szCs w:val="24"/>
                    </w:rPr>
                    <w:t>4</w:t>
                  </w:r>
                </w:p>
              </w:tc>
            </w:tr>
          </w:tbl>
          <w:p>
            <w:pPr>
              <w:pStyle w:val="15"/>
              <w:spacing w:line="360" w:lineRule="auto"/>
              <w:ind w:left="-539" w:leftChars="-257" w:firstLine="539"/>
              <w:rPr>
                <w:rFonts w:ascii="仿宋_GB2312" w:eastAsia="仿宋_GB2312"/>
                <w:b/>
                <w:sz w:val="24"/>
                <w:szCs w:val="24"/>
              </w:rPr>
            </w:pPr>
          </w:p>
          <w:p>
            <w:pPr>
              <w:pStyle w:val="15"/>
              <w:spacing w:line="360" w:lineRule="auto"/>
              <w:ind w:left="-539" w:leftChars="-257" w:firstLine="539"/>
              <w:rPr>
                <w:rFonts w:ascii="仿宋_GB2312" w:eastAsia="仿宋_GB2312"/>
                <w:b/>
                <w:sz w:val="24"/>
                <w:szCs w:val="24"/>
              </w:rPr>
            </w:pPr>
            <w:r>
              <w:rPr>
                <w:rFonts w:hint="eastAsia" w:ascii="仿宋_GB2312" w:eastAsia="仿宋_GB2312"/>
                <w:b/>
                <w:sz w:val="24"/>
                <w:szCs w:val="24"/>
              </w:rPr>
              <w:t>（2）八楼机房</w:t>
            </w:r>
            <w:r>
              <w:rPr>
                <w:rFonts w:ascii="仿宋_GB2312" w:eastAsia="仿宋_GB2312"/>
                <w:b/>
                <w:sz w:val="24"/>
                <w:szCs w:val="24"/>
              </w:rPr>
              <w:t>环境动力</w:t>
            </w:r>
            <w:r>
              <w:rPr>
                <w:rFonts w:hint="eastAsia" w:ascii="仿宋_GB2312" w:eastAsia="仿宋_GB2312"/>
                <w:b/>
                <w:sz w:val="24"/>
                <w:szCs w:val="24"/>
              </w:rPr>
              <w:t>设备</w:t>
            </w:r>
          </w:p>
          <w:tbl>
            <w:tblPr>
              <w:tblStyle w:val="9"/>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2136"/>
              <w:gridCol w:w="1327"/>
              <w:gridCol w:w="1313"/>
              <w:gridCol w:w="1314"/>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tcPr>
                <w:p>
                  <w:pPr>
                    <w:pStyle w:val="16"/>
                    <w:rPr>
                      <w:rFonts w:ascii="仿宋_GB2312" w:hAnsi="宋体" w:eastAsia="仿宋_GB2312" w:cs="Tahoma"/>
                      <w:kern w:val="28"/>
                      <w:sz w:val="24"/>
                      <w:szCs w:val="24"/>
                    </w:rPr>
                  </w:pPr>
                  <w:r>
                    <w:rPr>
                      <w:rFonts w:ascii="仿宋_GB2312" w:hAnsi="宋体" w:eastAsia="仿宋_GB2312" w:cs="Tahoma"/>
                      <w:kern w:val="28"/>
                      <w:sz w:val="24"/>
                      <w:szCs w:val="24"/>
                    </w:rPr>
                    <w:t>设备名称</w:t>
                  </w:r>
                </w:p>
              </w:tc>
              <w:tc>
                <w:tcPr>
                  <w:tcW w:w="2136" w:type="dxa"/>
                </w:tcPr>
                <w:p>
                  <w:pPr>
                    <w:pStyle w:val="16"/>
                    <w:rPr>
                      <w:rFonts w:ascii="仿宋_GB2312" w:hAnsi="宋体" w:eastAsia="仿宋_GB2312" w:cs="Tahoma"/>
                      <w:kern w:val="28"/>
                      <w:sz w:val="24"/>
                      <w:szCs w:val="24"/>
                    </w:rPr>
                  </w:pPr>
                  <w:r>
                    <w:rPr>
                      <w:rFonts w:ascii="仿宋_GB2312" w:hAnsi="宋体" w:eastAsia="仿宋_GB2312" w:cs="Tahoma"/>
                      <w:kern w:val="28"/>
                      <w:sz w:val="24"/>
                      <w:szCs w:val="24"/>
                    </w:rPr>
                    <w:t>型号</w:t>
                  </w:r>
                </w:p>
              </w:tc>
              <w:tc>
                <w:tcPr>
                  <w:tcW w:w="1327"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位置</w:t>
                  </w:r>
                </w:p>
              </w:tc>
              <w:tc>
                <w:tcPr>
                  <w:tcW w:w="1313" w:type="dxa"/>
                </w:tcPr>
                <w:p>
                  <w:pPr>
                    <w:pStyle w:val="16"/>
                    <w:rPr>
                      <w:rFonts w:ascii="仿宋_GB2312" w:hAnsi="宋体" w:eastAsia="仿宋_GB2312" w:cs="Tahoma"/>
                      <w:kern w:val="28"/>
                      <w:sz w:val="24"/>
                      <w:szCs w:val="24"/>
                    </w:rPr>
                  </w:pPr>
                  <w:r>
                    <w:rPr>
                      <w:rFonts w:ascii="仿宋_GB2312" w:hAnsi="宋体" w:eastAsia="仿宋_GB2312" w:cs="Tahoma"/>
                      <w:kern w:val="28"/>
                      <w:sz w:val="24"/>
                      <w:szCs w:val="24"/>
                    </w:rPr>
                    <w:t>数量</w:t>
                  </w:r>
                </w:p>
              </w:tc>
              <w:tc>
                <w:tcPr>
                  <w:tcW w:w="1314"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使用</w:t>
                  </w:r>
                  <w:r>
                    <w:rPr>
                      <w:rFonts w:ascii="仿宋_GB2312" w:hAnsi="宋体" w:eastAsia="仿宋_GB2312" w:cs="Tahoma"/>
                      <w:kern w:val="28"/>
                      <w:sz w:val="24"/>
                      <w:szCs w:val="24"/>
                    </w:rPr>
                    <w:t>年限</w:t>
                  </w:r>
                </w:p>
              </w:tc>
              <w:tc>
                <w:tcPr>
                  <w:tcW w:w="1314"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精密空调</w:t>
                  </w:r>
                </w:p>
              </w:tc>
              <w:tc>
                <w:tcPr>
                  <w:tcW w:w="2136"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AIRSYS</w:t>
                  </w:r>
                </w:p>
              </w:tc>
              <w:tc>
                <w:tcPr>
                  <w:tcW w:w="1327"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中心机房</w:t>
                  </w:r>
                </w:p>
              </w:tc>
              <w:tc>
                <w:tcPr>
                  <w:tcW w:w="1313"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 xml:space="preserve"> </w:t>
                  </w:r>
                </w:p>
              </w:tc>
              <w:tc>
                <w:tcPr>
                  <w:tcW w:w="1314"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5年</w:t>
                  </w:r>
                </w:p>
              </w:tc>
              <w:tc>
                <w:tcPr>
                  <w:tcW w:w="1314" w:type="dxa"/>
                </w:tcPr>
                <w:p>
                  <w:pPr>
                    <w:pStyle w:val="16"/>
                    <w:rPr>
                      <w:rFonts w:ascii="仿宋_GB2312" w:hAnsi="宋体" w:eastAsia="仿宋_GB2312" w:cs="Tahoma"/>
                      <w:kern w:val="2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UPS(</w:t>
                  </w:r>
                  <w:r>
                    <w:rPr>
                      <w:rFonts w:ascii="仿宋_GB2312" w:hAnsi="宋体" w:eastAsia="仿宋_GB2312" w:cs="Tahoma"/>
                      <w:kern w:val="28"/>
                      <w:sz w:val="24"/>
                      <w:szCs w:val="24"/>
                    </w:rPr>
                    <w:t>不间断</w:t>
                  </w:r>
                  <w:r>
                    <w:fldChar w:fldCharType="begin"/>
                  </w:r>
                  <w:r>
                    <w:instrText xml:space="preserve"> HYPERLINK "http://baike.baidu.com/view/13542.htm" \t "_blank" </w:instrText>
                  </w:r>
                  <w:r>
                    <w:fldChar w:fldCharType="separate"/>
                  </w:r>
                  <w:r>
                    <w:rPr>
                      <w:rFonts w:ascii="仿宋_GB2312" w:hAnsi="宋体" w:eastAsia="仿宋_GB2312" w:cs="Tahoma"/>
                      <w:kern w:val="28"/>
                      <w:sz w:val="24"/>
                      <w:szCs w:val="24"/>
                    </w:rPr>
                    <w:t>电源</w:t>
                  </w:r>
                  <w:r>
                    <w:rPr>
                      <w:rFonts w:ascii="仿宋_GB2312" w:hAnsi="宋体" w:eastAsia="仿宋_GB2312" w:cs="Tahoma"/>
                      <w:kern w:val="28"/>
                      <w:sz w:val="24"/>
                      <w:szCs w:val="24"/>
                    </w:rPr>
                    <w:fldChar w:fldCharType="end"/>
                  </w:r>
                  <w:r>
                    <w:rPr>
                      <w:rFonts w:hint="eastAsia" w:ascii="仿宋_GB2312" w:hAnsi="宋体" w:eastAsia="仿宋_GB2312" w:cs="Tahoma"/>
                      <w:kern w:val="28"/>
                      <w:sz w:val="24"/>
                      <w:szCs w:val="24"/>
                    </w:rPr>
                    <w:t>)</w:t>
                  </w:r>
                </w:p>
              </w:tc>
              <w:tc>
                <w:tcPr>
                  <w:tcW w:w="2136"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CHAMPION</w:t>
                  </w:r>
                </w:p>
              </w:tc>
              <w:tc>
                <w:tcPr>
                  <w:tcW w:w="1327"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中心机房</w:t>
                  </w:r>
                </w:p>
              </w:tc>
              <w:tc>
                <w:tcPr>
                  <w:tcW w:w="1313"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 xml:space="preserve"> </w:t>
                  </w:r>
                </w:p>
              </w:tc>
              <w:tc>
                <w:tcPr>
                  <w:tcW w:w="1314"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5年</w:t>
                  </w:r>
                </w:p>
              </w:tc>
              <w:tc>
                <w:tcPr>
                  <w:tcW w:w="1314" w:type="dxa"/>
                </w:tcPr>
                <w:p>
                  <w:pPr>
                    <w:pStyle w:val="16"/>
                    <w:rPr>
                      <w:rFonts w:ascii="仿宋_GB2312" w:hAnsi="宋体" w:eastAsia="仿宋_GB2312" w:cs="Tahoma"/>
                      <w:kern w:val="2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58"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气体自动灭火器</w:t>
                  </w:r>
                </w:p>
              </w:tc>
              <w:tc>
                <w:tcPr>
                  <w:tcW w:w="2136" w:type="dxa"/>
                </w:tcPr>
                <w:p>
                  <w:pPr>
                    <w:pStyle w:val="16"/>
                    <w:rPr>
                      <w:rFonts w:ascii="仿宋_GB2312" w:hAnsi="宋体" w:eastAsia="仿宋_GB2312" w:cs="Tahoma"/>
                      <w:kern w:val="28"/>
                      <w:sz w:val="24"/>
                      <w:szCs w:val="24"/>
                    </w:rPr>
                  </w:pPr>
                </w:p>
              </w:tc>
              <w:tc>
                <w:tcPr>
                  <w:tcW w:w="1327"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中心机房</w:t>
                  </w:r>
                </w:p>
              </w:tc>
              <w:tc>
                <w:tcPr>
                  <w:tcW w:w="1313"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 xml:space="preserve"> </w:t>
                  </w:r>
                </w:p>
              </w:tc>
              <w:tc>
                <w:tcPr>
                  <w:tcW w:w="1314"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2年</w:t>
                  </w:r>
                </w:p>
              </w:tc>
              <w:tc>
                <w:tcPr>
                  <w:tcW w:w="1314" w:type="dxa"/>
                </w:tcPr>
                <w:p>
                  <w:pPr>
                    <w:pStyle w:val="16"/>
                    <w:rPr>
                      <w:rFonts w:ascii="仿宋_GB2312" w:hAnsi="宋体" w:eastAsia="仿宋_GB2312" w:cs="Tahoma"/>
                      <w:kern w:val="2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手提干粉灭火器</w:t>
                  </w:r>
                </w:p>
              </w:tc>
              <w:tc>
                <w:tcPr>
                  <w:tcW w:w="2136" w:type="dxa"/>
                </w:tcPr>
                <w:p>
                  <w:pPr>
                    <w:pStyle w:val="16"/>
                    <w:rPr>
                      <w:rFonts w:ascii="仿宋_GB2312" w:hAnsi="宋体" w:eastAsia="仿宋_GB2312" w:cs="Tahoma"/>
                      <w:kern w:val="28"/>
                      <w:sz w:val="24"/>
                      <w:szCs w:val="24"/>
                    </w:rPr>
                  </w:pPr>
                </w:p>
              </w:tc>
              <w:tc>
                <w:tcPr>
                  <w:tcW w:w="1327"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中心机房</w:t>
                  </w:r>
                </w:p>
              </w:tc>
              <w:tc>
                <w:tcPr>
                  <w:tcW w:w="1313"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 xml:space="preserve"> </w:t>
                  </w:r>
                </w:p>
              </w:tc>
              <w:tc>
                <w:tcPr>
                  <w:tcW w:w="1314"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1年</w:t>
                  </w:r>
                </w:p>
              </w:tc>
              <w:tc>
                <w:tcPr>
                  <w:tcW w:w="1314" w:type="dxa"/>
                </w:tcPr>
                <w:p>
                  <w:pPr>
                    <w:pStyle w:val="16"/>
                    <w:rPr>
                      <w:rFonts w:ascii="仿宋_GB2312" w:hAnsi="宋体" w:eastAsia="仿宋_GB2312" w:cs="Tahoma"/>
                      <w:kern w:val="2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8"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新风机</w:t>
                  </w:r>
                </w:p>
              </w:tc>
              <w:tc>
                <w:tcPr>
                  <w:tcW w:w="2136" w:type="dxa"/>
                </w:tcPr>
                <w:p>
                  <w:pPr>
                    <w:pStyle w:val="16"/>
                    <w:rPr>
                      <w:rFonts w:ascii="仿宋_GB2312" w:hAnsi="宋体" w:eastAsia="仿宋_GB2312" w:cs="Tahoma"/>
                      <w:kern w:val="28"/>
                      <w:sz w:val="24"/>
                      <w:szCs w:val="24"/>
                    </w:rPr>
                  </w:pPr>
                </w:p>
              </w:tc>
              <w:tc>
                <w:tcPr>
                  <w:tcW w:w="1327"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中心机房</w:t>
                  </w:r>
                </w:p>
              </w:tc>
              <w:tc>
                <w:tcPr>
                  <w:tcW w:w="1313"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1</w:t>
                  </w:r>
                </w:p>
              </w:tc>
              <w:tc>
                <w:tcPr>
                  <w:tcW w:w="1314"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5年</w:t>
                  </w:r>
                </w:p>
              </w:tc>
              <w:tc>
                <w:tcPr>
                  <w:tcW w:w="1314" w:type="dxa"/>
                </w:tcPr>
                <w:p>
                  <w:pPr>
                    <w:pStyle w:val="16"/>
                    <w:rPr>
                      <w:rFonts w:ascii="仿宋_GB2312" w:hAnsi="宋体" w:eastAsia="仿宋_GB2312" w:cs="Tahoma"/>
                      <w:kern w:val="2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电话总线</w:t>
                  </w:r>
                </w:p>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配线架</w:t>
                  </w:r>
                </w:p>
              </w:tc>
              <w:tc>
                <w:tcPr>
                  <w:tcW w:w="2136" w:type="dxa"/>
                </w:tcPr>
                <w:p>
                  <w:pPr>
                    <w:pStyle w:val="16"/>
                    <w:rPr>
                      <w:rFonts w:ascii="仿宋_GB2312" w:hAnsi="宋体" w:eastAsia="仿宋_GB2312" w:cs="Tahoma"/>
                      <w:kern w:val="28"/>
                      <w:sz w:val="24"/>
                      <w:szCs w:val="24"/>
                    </w:rPr>
                  </w:pPr>
                </w:p>
              </w:tc>
              <w:tc>
                <w:tcPr>
                  <w:tcW w:w="1327"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中心机房</w:t>
                  </w:r>
                </w:p>
              </w:tc>
              <w:tc>
                <w:tcPr>
                  <w:tcW w:w="1313"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3</w:t>
                  </w:r>
                </w:p>
              </w:tc>
              <w:tc>
                <w:tcPr>
                  <w:tcW w:w="1314" w:type="dxa"/>
                </w:tcPr>
                <w:p>
                  <w:pPr>
                    <w:pStyle w:val="16"/>
                    <w:rPr>
                      <w:rFonts w:ascii="仿宋_GB2312" w:hAnsi="宋体" w:eastAsia="仿宋_GB2312" w:cs="Tahoma"/>
                      <w:kern w:val="28"/>
                      <w:sz w:val="24"/>
                      <w:szCs w:val="24"/>
                    </w:rPr>
                  </w:pPr>
                </w:p>
              </w:tc>
              <w:tc>
                <w:tcPr>
                  <w:tcW w:w="1314" w:type="dxa"/>
                </w:tcPr>
                <w:p>
                  <w:pPr>
                    <w:pStyle w:val="16"/>
                    <w:rPr>
                      <w:rFonts w:ascii="仿宋_GB2312" w:hAnsi="宋体" w:eastAsia="仿宋_GB2312" w:cs="Tahoma"/>
                      <w:kern w:val="2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电话线路</w:t>
                  </w:r>
                </w:p>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配线架</w:t>
                  </w:r>
                </w:p>
              </w:tc>
              <w:tc>
                <w:tcPr>
                  <w:tcW w:w="2136" w:type="dxa"/>
                </w:tcPr>
                <w:p>
                  <w:pPr>
                    <w:pStyle w:val="16"/>
                    <w:rPr>
                      <w:rFonts w:ascii="仿宋_GB2312" w:hAnsi="宋体" w:eastAsia="仿宋_GB2312" w:cs="Tahoma"/>
                      <w:kern w:val="28"/>
                      <w:sz w:val="24"/>
                      <w:szCs w:val="24"/>
                    </w:rPr>
                  </w:pPr>
                </w:p>
              </w:tc>
              <w:tc>
                <w:tcPr>
                  <w:tcW w:w="1327"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中心机房</w:t>
                  </w:r>
                </w:p>
              </w:tc>
              <w:tc>
                <w:tcPr>
                  <w:tcW w:w="1313"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8</w:t>
                  </w:r>
                </w:p>
              </w:tc>
              <w:tc>
                <w:tcPr>
                  <w:tcW w:w="1314" w:type="dxa"/>
                </w:tcPr>
                <w:p>
                  <w:pPr>
                    <w:pStyle w:val="16"/>
                    <w:rPr>
                      <w:rFonts w:ascii="仿宋_GB2312" w:hAnsi="宋体" w:eastAsia="仿宋_GB2312" w:cs="Tahoma"/>
                      <w:kern w:val="28"/>
                      <w:sz w:val="24"/>
                      <w:szCs w:val="24"/>
                    </w:rPr>
                  </w:pPr>
                </w:p>
              </w:tc>
              <w:tc>
                <w:tcPr>
                  <w:tcW w:w="1314"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楼层配线</w:t>
                  </w:r>
                </w:p>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架接入层</w:t>
                  </w:r>
                </w:p>
              </w:tc>
            </w:tr>
          </w:tbl>
          <w:p>
            <w:pPr>
              <w:spacing w:line="360" w:lineRule="auto"/>
              <w:ind w:firstLine="360" w:firstLineChars="150"/>
              <w:jc w:val="left"/>
              <w:rPr>
                <w:rFonts w:ascii="宋体" w:hAnsi="宋体"/>
                <w:sz w:val="24"/>
              </w:rPr>
            </w:pPr>
          </w:p>
          <w:p>
            <w:pPr>
              <w:spacing w:line="360" w:lineRule="auto"/>
              <w:jc w:val="left"/>
              <w:rPr>
                <w:rFonts w:ascii="仿宋_GB2312" w:eastAsia="仿宋_GB2312"/>
                <w:b/>
                <w:kern w:val="0"/>
                <w:sz w:val="24"/>
              </w:rPr>
            </w:pPr>
            <w:r>
              <w:rPr>
                <w:rFonts w:hint="eastAsia" w:ascii="仿宋_GB2312" w:eastAsia="仿宋_GB2312"/>
                <w:b/>
                <w:kern w:val="0"/>
                <w:sz w:val="24"/>
              </w:rPr>
              <w:t>（3）网络交换机</w:t>
            </w:r>
          </w:p>
          <w:tbl>
            <w:tblPr>
              <w:tblStyle w:val="9"/>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2136"/>
              <w:gridCol w:w="1482"/>
              <w:gridCol w:w="1158"/>
              <w:gridCol w:w="1314"/>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tcPr>
                <w:p>
                  <w:pPr>
                    <w:pStyle w:val="16"/>
                    <w:rPr>
                      <w:rFonts w:ascii="仿宋_GB2312" w:hAnsi="宋体" w:eastAsia="仿宋_GB2312" w:cs="Tahoma"/>
                      <w:kern w:val="28"/>
                      <w:sz w:val="24"/>
                      <w:szCs w:val="24"/>
                    </w:rPr>
                  </w:pPr>
                  <w:r>
                    <w:rPr>
                      <w:rFonts w:ascii="仿宋_GB2312" w:hAnsi="宋体" w:eastAsia="仿宋_GB2312" w:cs="Tahoma"/>
                      <w:kern w:val="28"/>
                      <w:sz w:val="24"/>
                      <w:szCs w:val="24"/>
                    </w:rPr>
                    <w:t>设备名称</w:t>
                  </w:r>
                </w:p>
              </w:tc>
              <w:tc>
                <w:tcPr>
                  <w:tcW w:w="2136" w:type="dxa"/>
                </w:tcPr>
                <w:p>
                  <w:pPr>
                    <w:pStyle w:val="16"/>
                    <w:rPr>
                      <w:rFonts w:ascii="仿宋_GB2312" w:hAnsi="宋体" w:eastAsia="仿宋_GB2312" w:cs="Tahoma"/>
                      <w:kern w:val="28"/>
                      <w:sz w:val="24"/>
                      <w:szCs w:val="24"/>
                    </w:rPr>
                  </w:pPr>
                  <w:r>
                    <w:rPr>
                      <w:rFonts w:ascii="仿宋_GB2312" w:hAnsi="宋体" w:eastAsia="仿宋_GB2312" w:cs="Tahoma"/>
                      <w:kern w:val="28"/>
                      <w:sz w:val="24"/>
                      <w:szCs w:val="24"/>
                    </w:rPr>
                    <w:t>型号</w:t>
                  </w:r>
                </w:p>
              </w:tc>
              <w:tc>
                <w:tcPr>
                  <w:tcW w:w="1482"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位置</w:t>
                  </w:r>
                </w:p>
              </w:tc>
              <w:tc>
                <w:tcPr>
                  <w:tcW w:w="1158" w:type="dxa"/>
                </w:tcPr>
                <w:p>
                  <w:pPr>
                    <w:pStyle w:val="16"/>
                    <w:rPr>
                      <w:rFonts w:ascii="仿宋_GB2312" w:hAnsi="宋体" w:eastAsia="仿宋_GB2312" w:cs="Tahoma"/>
                      <w:kern w:val="28"/>
                      <w:sz w:val="24"/>
                      <w:szCs w:val="24"/>
                    </w:rPr>
                  </w:pPr>
                  <w:r>
                    <w:rPr>
                      <w:rFonts w:ascii="仿宋_GB2312" w:hAnsi="宋体" w:eastAsia="仿宋_GB2312" w:cs="Tahoma"/>
                      <w:kern w:val="28"/>
                      <w:sz w:val="24"/>
                      <w:szCs w:val="24"/>
                    </w:rPr>
                    <w:t>数量</w:t>
                  </w:r>
                </w:p>
              </w:tc>
              <w:tc>
                <w:tcPr>
                  <w:tcW w:w="1314"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使用</w:t>
                  </w:r>
                  <w:r>
                    <w:rPr>
                      <w:rFonts w:ascii="仿宋_GB2312" w:hAnsi="宋体" w:eastAsia="仿宋_GB2312" w:cs="Tahoma"/>
                      <w:kern w:val="28"/>
                      <w:sz w:val="24"/>
                      <w:szCs w:val="24"/>
                    </w:rPr>
                    <w:t>年限</w:t>
                  </w:r>
                </w:p>
              </w:tc>
              <w:tc>
                <w:tcPr>
                  <w:tcW w:w="1314"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交换机</w:t>
                  </w:r>
                </w:p>
              </w:tc>
              <w:tc>
                <w:tcPr>
                  <w:tcW w:w="2136" w:type="dxa"/>
                </w:tcPr>
                <w:p>
                  <w:pPr>
                    <w:pStyle w:val="16"/>
                    <w:rPr>
                      <w:rFonts w:ascii="仿宋_GB2312" w:hAnsi="宋体" w:eastAsia="仿宋_GB2312" w:cs="Tahoma"/>
                      <w:kern w:val="28"/>
                      <w:sz w:val="24"/>
                      <w:szCs w:val="24"/>
                    </w:rPr>
                  </w:pPr>
                  <w:r>
                    <w:rPr>
                      <w:rFonts w:ascii="仿宋_GB2312" w:hAnsi="宋体" w:eastAsia="仿宋_GB2312" w:cs="Tahoma"/>
                      <w:kern w:val="28"/>
                      <w:sz w:val="24"/>
                      <w:szCs w:val="24"/>
                    </w:rPr>
                    <w:t>H3C S7506E</w:t>
                  </w:r>
                </w:p>
              </w:tc>
              <w:tc>
                <w:tcPr>
                  <w:tcW w:w="1482"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中心机房</w:t>
                  </w:r>
                </w:p>
              </w:tc>
              <w:tc>
                <w:tcPr>
                  <w:tcW w:w="1158"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 xml:space="preserve">  1</w:t>
                  </w:r>
                </w:p>
              </w:tc>
              <w:tc>
                <w:tcPr>
                  <w:tcW w:w="1314"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5年</w:t>
                  </w:r>
                </w:p>
              </w:tc>
              <w:tc>
                <w:tcPr>
                  <w:tcW w:w="1314" w:type="dxa"/>
                </w:tcPr>
                <w:p>
                  <w:pPr>
                    <w:pStyle w:val="16"/>
                    <w:rPr>
                      <w:rFonts w:ascii="仿宋_GB2312" w:hAnsi="宋体" w:eastAsia="仿宋_GB2312" w:cs="Tahoma"/>
                      <w:kern w:val="2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 xml:space="preserve">交换机 </w:t>
                  </w:r>
                </w:p>
              </w:tc>
              <w:tc>
                <w:tcPr>
                  <w:tcW w:w="2136"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H3C S6520-EI</w:t>
                  </w:r>
                </w:p>
              </w:tc>
              <w:tc>
                <w:tcPr>
                  <w:tcW w:w="1482"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中心机房</w:t>
                  </w:r>
                </w:p>
              </w:tc>
              <w:tc>
                <w:tcPr>
                  <w:tcW w:w="1158" w:type="dxa"/>
                </w:tcPr>
                <w:p>
                  <w:pPr>
                    <w:pStyle w:val="16"/>
                    <w:ind w:firstLine="240" w:firstLineChars="100"/>
                    <w:rPr>
                      <w:rFonts w:ascii="仿宋_GB2312" w:hAnsi="宋体" w:eastAsia="仿宋_GB2312" w:cs="Tahoma"/>
                      <w:kern w:val="28"/>
                      <w:sz w:val="24"/>
                      <w:szCs w:val="24"/>
                    </w:rPr>
                  </w:pPr>
                  <w:r>
                    <w:rPr>
                      <w:rFonts w:hint="eastAsia" w:ascii="仿宋_GB2312" w:hAnsi="宋体" w:eastAsia="仿宋_GB2312" w:cs="Tahoma"/>
                      <w:kern w:val="28"/>
                      <w:sz w:val="24"/>
                      <w:szCs w:val="24"/>
                    </w:rPr>
                    <w:t>2</w:t>
                  </w:r>
                </w:p>
              </w:tc>
              <w:tc>
                <w:tcPr>
                  <w:tcW w:w="1314"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5年</w:t>
                  </w:r>
                </w:p>
              </w:tc>
              <w:tc>
                <w:tcPr>
                  <w:tcW w:w="1314" w:type="dxa"/>
                </w:tcPr>
                <w:p>
                  <w:pPr>
                    <w:pStyle w:val="16"/>
                    <w:rPr>
                      <w:rFonts w:ascii="仿宋_GB2312" w:hAnsi="宋体" w:eastAsia="仿宋_GB2312" w:cs="Tahoma"/>
                      <w:color w:val="00B050"/>
                      <w:kern w:val="2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 xml:space="preserve">交换机 </w:t>
                  </w:r>
                </w:p>
              </w:tc>
              <w:tc>
                <w:tcPr>
                  <w:tcW w:w="2136"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H3C S5560X-EI</w:t>
                  </w:r>
                </w:p>
              </w:tc>
              <w:tc>
                <w:tcPr>
                  <w:tcW w:w="1482"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中心机房</w:t>
                  </w:r>
                </w:p>
              </w:tc>
              <w:tc>
                <w:tcPr>
                  <w:tcW w:w="1158" w:type="dxa"/>
                </w:tcPr>
                <w:p>
                  <w:pPr>
                    <w:pStyle w:val="16"/>
                    <w:ind w:firstLine="240" w:firstLineChars="100"/>
                    <w:rPr>
                      <w:rFonts w:ascii="仿宋_GB2312" w:hAnsi="宋体" w:eastAsia="仿宋_GB2312" w:cs="Tahoma"/>
                      <w:kern w:val="28"/>
                      <w:sz w:val="24"/>
                      <w:szCs w:val="24"/>
                    </w:rPr>
                  </w:pPr>
                  <w:r>
                    <w:rPr>
                      <w:rFonts w:hint="eastAsia" w:ascii="仿宋_GB2312" w:hAnsi="宋体" w:eastAsia="仿宋_GB2312" w:cs="Tahoma"/>
                      <w:kern w:val="28"/>
                      <w:sz w:val="24"/>
                      <w:szCs w:val="24"/>
                    </w:rPr>
                    <w:t>1</w:t>
                  </w:r>
                </w:p>
              </w:tc>
              <w:tc>
                <w:tcPr>
                  <w:tcW w:w="1314"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5年</w:t>
                  </w:r>
                </w:p>
              </w:tc>
              <w:tc>
                <w:tcPr>
                  <w:tcW w:w="1314" w:type="dxa"/>
                </w:tcPr>
                <w:p>
                  <w:pPr>
                    <w:pStyle w:val="16"/>
                    <w:rPr>
                      <w:rFonts w:ascii="仿宋_GB2312" w:hAnsi="宋体" w:eastAsia="仿宋_GB2312" w:cs="Tahoma"/>
                      <w:color w:val="00B050"/>
                      <w:kern w:val="2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交换机</w:t>
                  </w:r>
                </w:p>
              </w:tc>
              <w:tc>
                <w:tcPr>
                  <w:tcW w:w="2136" w:type="dxa"/>
                </w:tcPr>
                <w:p>
                  <w:pPr>
                    <w:pStyle w:val="16"/>
                    <w:rPr>
                      <w:rFonts w:ascii="仿宋_GB2312" w:hAnsi="宋体" w:eastAsia="仿宋_GB2312" w:cs="Tahoma"/>
                      <w:kern w:val="28"/>
                      <w:sz w:val="24"/>
                      <w:szCs w:val="24"/>
                    </w:rPr>
                  </w:pPr>
                  <w:r>
                    <w:rPr>
                      <w:rFonts w:ascii="仿宋_GB2312" w:hAnsi="宋体" w:eastAsia="仿宋_GB2312" w:cs="Tahoma"/>
                      <w:kern w:val="28"/>
                      <w:sz w:val="24"/>
                      <w:szCs w:val="24"/>
                    </w:rPr>
                    <w:t>H3C S5120-48P-EI</w:t>
                  </w:r>
                </w:p>
              </w:tc>
              <w:tc>
                <w:tcPr>
                  <w:tcW w:w="1482"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楼层配线间</w:t>
                  </w:r>
                </w:p>
              </w:tc>
              <w:tc>
                <w:tcPr>
                  <w:tcW w:w="1158" w:type="dxa"/>
                </w:tcPr>
                <w:p>
                  <w:pPr>
                    <w:pStyle w:val="16"/>
                    <w:ind w:firstLine="240" w:firstLineChars="100"/>
                    <w:rPr>
                      <w:rFonts w:ascii="仿宋_GB2312" w:hAnsi="宋体" w:eastAsia="仿宋_GB2312" w:cs="Tahoma"/>
                      <w:kern w:val="28"/>
                      <w:sz w:val="24"/>
                      <w:szCs w:val="24"/>
                    </w:rPr>
                  </w:pPr>
                  <w:r>
                    <w:rPr>
                      <w:rFonts w:hint="eastAsia" w:ascii="仿宋_GB2312" w:hAnsi="宋体" w:eastAsia="仿宋_GB2312" w:cs="Tahoma"/>
                      <w:kern w:val="28"/>
                      <w:sz w:val="24"/>
                      <w:szCs w:val="24"/>
                    </w:rPr>
                    <w:t>14</w:t>
                  </w:r>
                </w:p>
              </w:tc>
              <w:tc>
                <w:tcPr>
                  <w:tcW w:w="1314" w:type="dxa"/>
                </w:tcPr>
                <w:p>
                  <w:pPr>
                    <w:pStyle w:val="16"/>
                    <w:rPr>
                      <w:rFonts w:ascii="仿宋_GB2312" w:hAnsi="宋体" w:eastAsia="仿宋_GB2312" w:cs="Tahoma"/>
                      <w:kern w:val="28"/>
                      <w:sz w:val="24"/>
                      <w:szCs w:val="24"/>
                    </w:rPr>
                  </w:pPr>
                  <w:r>
                    <w:rPr>
                      <w:rFonts w:ascii="仿宋_GB2312" w:hAnsi="宋体" w:eastAsia="仿宋_GB2312" w:cs="Tahoma"/>
                      <w:kern w:val="28"/>
                      <w:sz w:val="24"/>
                      <w:szCs w:val="24"/>
                    </w:rPr>
                    <w:t>12</w:t>
                  </w:r>
                  <w:r>
                    <w:rPr>
                      <w:rFonts w:hint="eastAsia" w:ascii="仿宋_GB2312" w:hAnsi="宋体" w:eastAsia="仿宋_GB2312" w:cs="Tahoma"/>
                      <w:kern w:val="28"/>
                      <w:sz w:val="24"/>
                      <w:szCs w:val="24"/>
                    </w:rPr>
                    <w:t>年</w:t>
                  </w:r>
                </w:p>
              </w:tc>
              <w:tc>
                <w:tcPr>
                  <w:tcW w:w="1314" w:type="dxa"/>
                </w:tcPr>
                <w:p>
                  <w:pPr>
                    <w:pStyle w:val="16"/>
                    <w:rPr>
                      <w:rFonts w:ascii="仿宋_GB2312" w:hAnsi="宋体" w:eastAsia="仿宋_GB2312" w:cs="Tahoma"/>
                      <w:kern w:val="2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58"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交换机</w:t>
                  </w:r>
                </w:p>
              </w:tc>
              <w:tc>
                <w:tcPr>
                  <w:tcW w:w="2136" w:type="dxa"/>
                </w:tcPr>
                <w:p>
                  <w:pPr>
                    <w:pStyle w:val="16"/>
                    <w:rPr>
                      <w:rFonts w:ascii="仿宋_GB2312" w:hAnsi="宋体" w:eastAsia="仿宋_GB2312" w:cs="Tahoma"/>
                      <w:kern w:val="28"/>
                      <w:sz w:val="24"/>
                      <w:szCs w:val="24"/>
                    </w:rPr>
                  </w:pPr>
                  <w:r>
                    <w:rPr>
                      <w:rFonts w:ascii="仿宋_GB2312" w:hAnsi="宋体" w:eastAsia="仿宋_GB2312" w:cs="Tahoma"/>
                      <w:kern w:val="28"/>
                      <w:sz w:val="24"/>
                      <w:szCs w:val="24"/>
                    </w:rPr>
                    <w:t>H3C S5120-24P-EI</w:t>
                  </w:r>
                </w:p>
              </w:tc>
              <w:tc>
                <w:tcPr>
                  <w:tcW w:w="1482"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楼层配线间</w:t>
                  </w:r>
                </w:p>
              </w:tc>
              <w:tc>
                <w:tcPr>
                  <w:tcW w:w="1158" w:type="dxa"/>
                </w:tcPr>
                <w:p>
                  <w:pPr>
                    <w:pStyle w:val="16"/>
                    <w:ind w:firstLine="240" w:firstLineChars="100"/>
                    <w:rPr>
                      <w:rFonts w:ascii="仿宋_GB2312" w:hAnsi="宋体" w:eastAsia="仿宋_GB2312" w:cs="Tahoma"/>
                      <w:kern w:val="28"/>
                      <w:sz w:val="24"/>
                      <w:szCs w:val="24"/>
                    </w:rPr>
                  </w:pPr>
                  <w:r>
                    <w:rPr>
                      <w:rFonts w:hint="eastAsia" w:ascii="仿宋_GB2312" w:hAnsi="宋体" w:eastAsia="仿宋_GB2312" w:cs="Tahoma"/>
                      <w:kern w:val="28"/>
                      <w:sz w:val="24"/>
                      <w:szCs w:val="24"/>
                    </w:rPr>
                    <w:t>3</w:t>
                  </w:r>
                </w:p>
              </w:tc>
              <w:tc>
                <w:tcPr>
                  <w:tcW w:w="1314" w:type="dxa"/>
                </w:tcPr>
                <w:p>
                  <w:pPr>
                    <w:pStyle w:val="16"/>
                    <w:rPr>
                      <w:rFonts w:ascii="仿宋_GB2312" w:hAnsi="宋体" w:eastAsia="仿宋_GB2312" w:cs="Tahoma"/>
                      <w:kern w:val="28"/>
                      <w:sz w:val="24"/>
                      <w:szCs w:val="24"/>
                    </w:rPr>
                  </w:pPr>
                  <w:r>
                    <w:rPr>
                      <w:rFonts w:ascii="仿宋_GB2312" w:hAnsi="宋体" w:eastAsia="仿宋_GB2312" w:cs="Tahoma"/>
                      <w:kern w:val="28"/>
                      <w:sz w:val="24"/>
                      <w:szCs w:val="24"/>
                    </w:rPr>
                    <w:t>12</w:t>
                  </w:r>
                  <w:r>
                    <w:rPr>
                      <w:rFonts w:hint="eastAsia" w:ascii="仿宋_GB2312" w:hAnsi="宋体" w:eastAsia="仿宋_GB2312" w:cs="Tahoma"/>
                      <w:kern w:val="28"/>
                      <w:sz w:val="24"/>
                      <w:szCs w:val="24"/>
                    </w:rPr>
                    <w:t>年</w:t>
                  </w:r>
                </w:p>
              </w:tc>
              <w:tc>
                <w:tcPr>
                  <w:tcW w:w="1314" w:type="dxa"/>
                </w:tcPr>
                <w:p>
                  <w:pPr>
                    <w:pStyle w:val="16"/>
                    <w:rPr>
                      <w:rFonts w:ascii="仿宋_GB2312" w:hAnsi="宋体" w:eastAsia="仿宋_GB2312" w:cs="Tahoma"/>
                      <w:kern w:val="2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58"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电话线路</w:t>
                  </w:r>
                </w:p>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配线架</w:t>
                  </w:r>
                </w:p>
              </w:tc>
              <w:tc>
                <w:tcPr>
                  <w:tcW w:w="2136" w:type="dxa"/>
                </w:tcPr>
                <w:p>
                  <w:pPr>
                    <w:pStyle w:val="16"/>
                    <w:rPr>
                      <w:rFonts w:ascii="仿宋_GB2312" w:hAnsi="宋体" w:eastAsia="仿宋_GB2312" w:cs="Tahoma"/>
                      <w:kern w:val="28"/>
                      <w:sz w:val="24"/>
                      <w:szCs w:val="24"/>
                    </w:rPr>
                  </w:pPr>
                </w:p>
              </w:tc>
              <w:tc>
                <w:tcPr>
                  <w:tcW w:w="1482" w:type="dxa"/>
                </w:tcPr>
                <w:p>
                  <w:pPr>
                    <w:pStyle w:val="16"/>
                    <w:rPr>
                      <w:rFonts w:ascii="仿宋_GB2312" w:hAnsi="宋体" w:eastAsia="仿宋_GB2312" w:cs="Tahoma"/>
                      <w:kern w:val="28"/>
                      <w:sz w:val="24"/>
                      <w:szCs w:val="24"/>
                    </w:rPr>
                  </w:pPr>
                  <w:r>
                    <w:rPr>
                      <w:rFonts w:hint="eastAsia" w:ascii="仿宋_GB2312" w:hAnsi="宋体" w:eastAsia="仿宋_GB2312" w:cs="Tahoma"/>
                      <w:kern w:val="28"/>
                      <w:sz w:val="24"/>
                      <w:szCs w:val="24"/>
                    </w:rPr>
                    <w:t>楼层配线间</w:t>
                  </w:r>
                </w:p>
              </w:tc>
              <w:tc>
                <w:tcPr>
                  <w:tcW w:w="1158" w:type="dxa"/>
                </w:tcPr>
                <w:p>
                  <w:pPr>
                    <w:pStyle w:val="16"/>
                    <w:ind w:firstLine="240" w:firstLineChars="100"/>
                    <w:rPr>
                      <w:rFonts w:ascii="仿宋_GB2312" w:hAnsi="宋体" w:eastAsia="仿宋_GB2312" w:cs="Tahoma"/>
                      <w:kern w:val="28"/>
                      <w:sz w:val="24"/>
                      <w:szCs w:val="24"/>
                    </w:rPr>
                  </w:pPr>
                  <w:r>
                    <w:rPr>
                      <w:rFonts w:hint="eastAsia" w:ascii="仿宋_GB2312" w:hAnsi="宋体" w:eastAsia="仿宋_GB2312" w:cs="Tahoma"/>
                      <w:kern w:val="28"/>
                      <w:sz w:val="24"/>
                      <w:szCs w:val="24"/>
                    </w:rPr>
                    <w:t>12</w:t>
                  </w:r>
                </w:p>
              </w:tc>
              <w:tc>
                <w:tcPr>
                  <w:tcW w:w="1314" w:type="dxa"/>
                </w:tcPr>
                <w:p>
                  <w:pPr>
                    <w:pStyle w:val="16"/>
                    <w:rPr>
                      <w:rFonts w:ascii="仿宋_GB2312" w:hAnsi="宋体" w:eastAsia="仿宋_GB2312" w:cs="Tahoma"/>
                      <w:kern w:val="28"/>
                      <w:sz w:val="24"/>
                      <w:szCs w:val="24"/>
                    </w:rPr>
                  </w:pPr>
                </w:p>
              </w:tc>
              <w:tc>
                <w:tcPr>
                  <w:tcW w:w="1314" w:type="dxa"/>
                </w:tcPr>
                <w:p>
                  <w:pPr>
                    <w:pStyle w:val="16"/>
                    <w:rPr>
                      <w:rFonts w:ascii="仿宋_GB2312" w:hAnsi="宋体" w:eastAsia="仿宋_GB2312" w:cs="Tahoma"/>
                      <w:kern w:val="28"/>
                      <w:sz w:val="24"/>
                      <w:szCs w:val="24"/>
                    </w:rPr>
                  </w:pPr>
                </w:p>
              </w:tc>
            </w:tr>
          </w:tbl>
          <w:p>
            <w:pPr>
              <w:spacing w:line="360" w:lineRule="auto"/>
              <w:jc w:val="left"/>
              <w:rPr>
                <w:rFonts w:ascii="仿宋_GB2312" w:eastAsia="仿宋_GB2312"/>
                <w:b/>
                <w:kern w:val="0"/>
                <w:sz w:val="24"/>
              </w:rPr>
            </w:pPr>
          </w:p>
          <w:p>
            <w:pPr>
              <w:pStyle w:val="18"/>
              <w:ind w:firstLine="480" w:firstLineChars="200"/>
            </w:pPr>
            <w:r>
              <w:rPr>
                <w:rFonts w:hint="eastAsia"/>
              </w:rPr>
              <w:t>1、范围</w:t>
            </w:r>
          </w:p>
          <w:p>
            <w:pPr>
              <w:pStyle w:val="19"/>
              <w:spacing w:beforeLines="0" w:afterLines="0"/>
            </w:pPr>
            <w:r>
              <w:rPr>
                <w:rFonts w:hint="eastAsia"/>
              </w:rPr>
              <w:t>广州市规划和自然资源局花都区分局机房动力设备、网络交换机、电话语音网络设备</w:t>
            </w:r>
            <w:r>
              <w:t>及其他应用、安全系统。</w:t>
            </w:r>
          </w:p>
          <w:p>
            <w:pPr>
              <w:pStyle w:val="18"/>
              <w:ind w:firstLine="480" w:firstLineChars="200"/>
            </w:pPr>
            <w:r>
              <w:rPr>
                <w:rFonts w:hint="eastAsia"/>
              </w:rPr>
              <w:t>2、内容</w:t>
            </w:r>
          </w:p>
          <w:p>
            <w:pPr>
              <w:pStyle w:val="17"/>
              <w:numPr>
                <w:ilvl w:val="0"/>
                <w:numId w:val="3"/>
              </w:numPr>
              <w:spacing w:line="360" w:lineRule="auto"/>
              <w:rPr>
                <w:rFonts w:ascii="宋体" w:hAnsi="宋体"/>
                <w:kern w:val="0"/>
                <w:sz w:val="24"/>
                <w:szCs w:val="24"/>
              </w:rPr>
            </w:pPr>
            <w:r>
              <w:rPr>
                <w:rFonts w:hint="eastAsia" w:ascii="宋体" w:hAnsi="宋体"/>
                <w:kern w:val="0"/>
                <w:sz w:val="24"/>
                <w:szCs w:val="24"/>
              </w:rPr>
              <w:t>负责AIX/Linux/Unix/Windows平台下服务器及网络设备的规划、使用、维护；</w:t>
            </w:r>
          </w:p>
          <w:p>
            <w:pPr>
              <w:pStyle w:val="17"/>
              <w:numPr>
                <w:ilvl w:val="0"/>
                <w:numId w:val="3"/>
              </w:numPr>
              <w:spacing w:line="360" w:lineRule="auto"/>
              <w:rPr>
                <w:rFonts w:hint="eastAsia" w:ascii="宋体" w:hAnsi="宋体"/>
                <w:kern w:val="0"/>
                <w:sz w:val="24"/>
                <w:szCs w:val="24"/>
              </w:rPr>
            </w:pPr>
            <w:r>
              <w:rPr>
                <w:rFonts w:hint="eastAsia" w:ascii="宋体" w:hAnsi="宋体"/>
                <w:kern w:val="0"/>
                <w:sz w:val="24"/>
                <w:szCs w:val="24"/>
              </w:rPr>
              <w:t>负责系统稳定运行、安全体系搭建、维护和优化；</w:t>
            </w:r>
          </w:p>
          <w:p>
            <w:pPr>
              <w:pStyle w:val="17"/>
              <w:numPr>
                <w:ilvl w:val="0"/>
                <w:numId w:val="3"/>
              </w:numPr>
              <w:spacing w:line="360" w:lineRule="auto"/>
              <w:rPr>
                <w:rFonts w:ascii="宋体" w:hAnsi="宋体"/>
                <w:kern w:val="0"/>
                <w:sz w:val="24"/>
                <w:szCs w:val="24"/>
              </w:rPr>
            </w:pPr>
            <w:r>
              <w:rPr>
                <w:rFonts w:ascii="宋体" w:hAnsi="宋体"/>
                <w:kern w:val="0"/>
                <w:sz w:val="24"/>
                <w:szCs w:val="24"/>
              </w:rPr>
              <w:t>全方位的系统、网络性能监控、优化</w:t>
            </w:r>
            <w:r>
              <w:rPr>
                <w:rFonts w:hint="eastAsia" w:ascii="宋体" w:hAnsi="宋体"/>
                <w:kern w:val="0"/>
                <w:sz w:val="24"/>
                <w:szCs w:val="24"/>
              </w:rPr>
              <w:t>针对市规划和自然资源局花都区分局自有管理权限的服务器，定期对服务器系统的运行状态和性能进行巡检，形成报告并附带优化建议；</w:t>
            </w:r>
          </w:p>
          <w:p>
            <w:pPr>
              <w:pStyle w:val="17"/>
              <w:numPr>
                <w:ilvl w:val="0"/>
                <w:numId w:val="3"/>
              </w:numPr>
              <w:spacing w:line="360" w:lineRule="auto"/>
              <w:rPr>
                <w:rFonts w:ascii="宋体" w:hAnsi="宋体"/>
                <w:kern w:val="0"/>
                <w:sz w:val="24"/>
                <w:szCs w:val="24"/>
              </w:rPr>
            </w:pPr>
            <w:r>
              <w:rPr>
                <w:rFonts w:ascii="宋体" w:hAnsi="宋体"/>
                <w:kern w:val="0"/>
                <w:sz w:val="24"/>
                <w:szCs w:val="24"/>
              </w:rPr>
              <w:t>各类故障及事务的应急响应、处理，协调，保证业务连续性；</w:t>
            </w:r>
          </w:p>
          <w:p>
            <w:pPr>
              <w:pStyle w:val="17"/>
              <w:numPr>
                <w:ilvl w:val="0"/>
                <w:numId w:val="3"/>
              </w:numPr>
              <w:spacing w:line="360" w:lineRule="auto"/>
              <w:rPr>
                <w:rFonts w:ascii="宋体" w:hAnsi="宋体"/>
                <w:kern w:val="0"/>
                <w:sz w:val="24"/>
                <w:szCs w:val="24"/>
              </w:rPr>
            </w:pPr>
            <w:r>
              <w:rPr>
                <w:rFonts w:ascii="宋体" w:hAnsi="宋体"/>
                <w:kern w:val="0"/>
                <w:sz w:val="24"/>
                <w:szCs w:val="24"/>
              </w:rPr>
              <w:t>配合</w:t>
            </w:r>
            <w:r>
              <w:rPr>
                <w:rFonts w:hint="eastAsia" w:ascii="宋体" w:hAnsi="宋体"/>
                <w:kern w:val="0"/>
                <w:sz w:val="24"/>
                <w:szCs w:val="24"/>
              </w:rPr>
              <w:t>其他岗位</w:t>
            </w:r>
            <w:r>
              <w:rPr>
                <w:rFonts w:ascii="宋体" w:hAnsi="宋体"/>
                <w:kern w:val="0"/>
                <w:sz w:val="24"/>
                <w:szCs w:val="24"/>
              </w:rPr>
              <w:t>完成系统升级、架构调优等测试或实施工作。</w:t>
            </w:r>
          </w:p>
          <w:p>
            <w:pPr>
              <w:pStyle w:val="17"/>
              <w:numPr>
                <w:ilvl w:val="0"/>
                <w:numId w:val="3"/>
              </w:numPr>
              <w:spacing w:line="360" w:lineRule="auto"/>
              <w:rPr>
                <w:rFonts w:ascii="宋体" w:hAnsi="宋体"/>
                <w:kern w:val="0"/>
                <w:sz w:val="24"/>
                <w:szCs w:val="24"/>
              </w:rPr>
            </w:pPr>
            <w:r>
              <w:rPr>
                <w:rFonts w:hint="eastAsia" w:ascii="宋体" w:hAnsi="宋体"/>
                <w:kern w:val="0"/>
                <w:sz w:val="24"/>
                <w:szCs w:val="24"/>
              </w:rPr>
              <w:t>定期进行运行环境检测、平台安全检测、操作系统、数据库、网络设备漏洞补丁升级及配置优化、安全产品审计和升级等；</w:t>
            </w:r>
          </w:p>
          <w:p>
            <w:pPr>
              <w:pStyle w:val="17"/>
              <w:numPr>
                <w:ilvl w:val="0"/>
                <w:numId w:val="3"/>
              </w:numPr>
              <w:spacing w:line="360" w:lineRule="auto"/>
              <w:rPr>
                <w:rFonts w:ascii="宋体" w:hAnsi="宋体"/>
                <w:kern w:val="0"/>
                <w:sz w:val="24"/>
                <w:szCs w:val="24"/>
              </w:rPr>
            </w:pPr>
            <w:r>
              <w:rPr>
                <w:rFonts w:hint="eastAsia" w:ascii="宋体" w:hAnsi="宋体"/>
                <w:kern w:val="0"/>
                <w:sz w:val="24"/>
                <w:szCs w:val="24"/>
              </w:rPr>
              <w:t>协助市规划和自然资源局花都区分局制订应急响应流程、业务持续性计划，提供7X24小时现场应急响应支持服务及电话咨询等；</w:t>
            </w:r>
          </w:p>
          <w:p>
            <w:pPr>
              <w:pStyle w:val="17"/>
              <w:numPr>
                <w:ilvl w:val="0"/>
                <w:numId w:val="3"/>
              </w:numPr>
              <w:spacing w:line="360" w:lineRule="auto"/>
              <w:rPr>
                <w:rFonts w:ascii="宋体" w:hAnsi="宋体"/>
                <w:kern w:val="0"/>
                <w:sz w:val="24"/>
                <w:szCs w:val="24"/>
              </w:rPr>
            </w:pPr>
            <w:r>
              <w:rPr>
                <w:rFonts w:hint="eastAsia" w:ascii="宋体" w:hAnsi="宋体"/>
                <w:kern w:val="0"/>
                <w:sz w:val="24"/>
                <w:szCs w:val="24"/>
              </w:rPr>
              <w:t>通过安全通告、电话咨询、技术交流等方式，为市规划和自然资源局花都区分局内部信息管理人员提供及时的安全信息和解决办法。实时通报新出现或可能出现的网络威胁进攻、病毒和漏洞，出现用户无法处理的病毒或网络攻击时，立即到现场给与支持。</w:t>
            </w:r>
          </w:p>
          <w:p>
            <w:pPr>
              <w:pStyle w:val="17"/>
              <w:numPr>
                <w:ilvl w:val="0"/>
                <w:numId w:val="3"/>
              </w:numPr>
              <w:spacing w:line="360" w:lineRule="auto"/>
              <w:rPr>
                <w:rFonts w:ascii="宋体" w:hAnsi="宋体"/>
                <w:kern w:val="0"/>
                <w:sz w:val="24"/>
                <w:szCs w:val="24"/>
              </w:rPr>
            </w:pPr>
            <w:r>
              <w:rPr>
                <w:rFonts w:hint="eastAsia" w:ascii="宋体" w:hAnsi="宋体"/>
                <w:kern w:val="0"/>
                <w:sz w:val="24"/>
                <w:szCs w:val="24"/>
              </w:rPr>
              <w:t>每日监控中心机房服务器的运行状态和健康状况。运行状态与监控包括服务器运行状态及网络流量等。内部业务系统工作日内监控，发现异常，立即报告并采取适当措施。服务器状态及网络流量等在工作日形成监测报告。</w:t>
            </w:r>
          </w:p>
          <w:p>
            <w:pPr>
              <w:pStyle w:val="17"/>
              <w:numPr>
                <w:ilvl w:val="0"/>
                <w:numId w:val="3"/>
              </w:numPr>
              <w:spacing w:line="360" w:lineRule="auto"/>
              <w:rPr>
                <w:rFonts w:ascii="宋体" w:hAnsi="宋体"/>
                <w:kern w:val="0"/>
                <w:sz w:val="24"/>
                <w:szCs w:val="24"/>
              </w:rPr>
            </w:pPr>
            <w:r>
              <w:rPr>
                <w:rFonts w:hint="eastAsia" w:ascii="宋体" w:hAnsi="宋体"/>
                <w:kern w:val="0"/>
                <w:sz w:val="24"/>
                <w:szCs w:val="24"/>
              </w:rPr>
              <w:t>对发生的故障进行已经授权的预处理；</w:t>
            </w:r>
          </w:p>
          <w:p>
            <w:pPr>
              <w:pStyle w:val="17"/>
              <w:numPr>
                <w:ilvl w:val="0"/>
                <w:numId w:val="3"/>
              </w:numPr>
              <w:spacing w:line="360" w:lineRule="auto"/>
              <w:rPr>
                <w:rFonts w:ascii="宋体" w:hAnsi="宋体"/>
                <w:kern w:val="0"/>
                <w:sz w:val="24"/>
                <w:szCs w:val="24"/>
              </w:rPr>
            </w:pPr>
            <w:r>
              <w:rPr>
                <w:rFonts w:hint="eastAsia" w:ascii="宋体" w:hAnsi="宋体"/>
                <w:kern w:val="0"/>
                <w:sz w:val="24"/>
                <w:szCs w:val="24"/>
              </w:rPr>
              <w:t>对所做处理作详细记录；</w:t>
            </w:r>
          </w:p>
          <w:p>
            <w:pPr>
              <w:pStyle w:val="17"/>
              <w:numPr>
                <w:ilvl w:val="0"/>
                <w:numId w:val="3"/>
              </w:numPr>
              <w:spacing w:line="360" w:lineRule="auto"/>
              <w:rPr>
                <w:rFonts w:ascii="宋体" w:hAnsi="宋体"/>
                <w:kern w:val="0"/>
                <w:sz w:val="24"/>
                <w:szCs w:val="24"/>
              </w:rPr>
            </w:pPr>
            <w:r>
              <w:rPr>
                <w:rFonts w:hint="eastAsia" w:ascii="宋体" w:hAnsi="宋体"/>
                <w:kern w:val="0"/>
                <w:sz w:val="24"/>
                <w:szCs w:val="24"/>
              </w:rPr>
              <w:t>按规定完成数据整理和备份。</w:t>
            </w:r>
          </w:p>
          <w:p>
            <w:pPr>
              <w:pStyle w:val="17"/>
              <w:numPr>
                <w:ilvl w:val="0"/>
                <w:numId w:val="3"/>
              </w:numPr>
              <w:spacing w:line="360" w:lineRule="auto"/>
              <w:rPr>
                <w:rFonts w:ascii="宋体" w:hAnsi="宋体"/>
                <w:kern w:val="0"/>
                <w:sz w:val="24"/>
                <w:szCs w:val="24"/>
              </w:rPr>
            </w:pPr>
            <w:r>
              <w:rPr>
                <w:rFonts w:hint="eastAsia" w:ascii="宋体" w:hAnsi="宋体"/>
                <w:kern w:val="0"/>
                <w:sz w:val="24"/>
                <w:szCs w:val="24"/>
              </w:rPr>
              <w:t>针对市规划和自然资源局花都区分局自有管理权限的服务器，完成有计划的系统升级、补丁升级地址变更、服务配置等工作；</w:t>
            </w:r>
          </w:p>
          <w:p>
            <w:pPr>
              <w:pStyle w:val="17"/>
              <w:numPr>
                <w:ilvl w:val="0"/>
                <w:numId w:val="3"/>
              </w:numPr>
              <w:spacing w:line="360" w:lineRule="auto"/>
              <w:rPr>
                <w:rFonts w:ascii="宋体" w:hAnsi="宋体"/>
                <w:kern w:val="0"/>
                <w:sz w:val="24"/>
                <w:szCs w:val="24"/>
              </w:rPr>
            </w:pPr>
            <w:r>
              <w:rPr>
                <w:rFonts w:hint="eastAsia" w:ascii="宋体" w:hAnsi="宋体"/>
                <w:kern w:val="0"/>
                <w:sz w:val="24"/>
                <w:szCs w:val="24"/>
              </w:rPr>
              <w:t>对局内的电话语音系统进行维护，主动配合电信运营商的工作。</w:t>
            </w:r>
          </w:p>
          <w:p>
            <w:pPr>
              <w:pStyle w:val="17"/>
              <w:numPr>
                <w:ilvl w:val="0"/>
                <w:numId w:val="3"/>
              </w:numPr>
              <w:spacing w:line="360" w:lineRule="auto"/>
              <w:rPr>
                <w:rFonts w:ascii="宋体" w:hAnsi="宋体"/>
                <w:kern w:val="0"/>
                <w:sz w:val="24"/>
                <w:szCs w:val="24"/>
              </w:rPr>
            </w:pPr>
            <w:r>
              <w:rPr>
                <w:rFonts w:hint="eastAsia" w:ascii="宋体" w:hAnsi="宋体"/>
                <w:kern w:val="0"/>
                <w:sz w:val="24"/>
                <w:szCs w:val="24"/>
              </w:rPr>
              <w:t>规范标识及配线方式，对局内一、三、五、八层各配线间的内部线路进行优化，定期巡查，提高网络的稳定性和可扩展性。</w:t>
            </w:r>
          </w:p>
          <w:p>
            <w:pPr>
              <w:pStyle w:val="17"/>
              <w:spacing w:line="360" w:lineRule="auto"/>
              <w:ind w:firstLine="600" w:firstLineChars="250"/>
              <w:rPr>
                <w:rFonts w:ascii="宋体" w:hAnsi="宋体"/>
                <w:kern w:val="0"/>
                <w:sz w:val="24"/>
                <w:szCs w:val="24"/>
              </w:rPr>
            </w:pPr>
            <w:r>
              <w:rPr>
                <w:rFonts w:hint="eastAsia" w:ascii="宋体" w:hAnsi="宋体"/>
                <w:kern w:val="0"/>
                <w:sz w:val="24"/>
                <w:szCs w:val="24"/>
              </w:rPr>
              <w:t>3、安全评估服务</w:t>
            </w:r>
          </w:p>
          <w:p>
            <w:pPr>
              <w:pStyle w:val="17"/>
              <w:spacing w:line="360" w:lineRule="auto"/>
              <w:ind w:firstLine="420"/>
              <w:rPr>
                <w:rFonts w:ascii="宋体" w:hAnsi="宋体"/>
                <w:kern w:val="0"/>
                <w:sz w:val="24"/>
                <w:szCs w:val="24"/>
              </w:rPr>
            </w:pPr>
            <w:r>
              <w:rPr>
                <w:rFonts w:hint="eastAsia" w:ascii="宋体" w:hAnsi="宋体"/>
                <w:kern w:val="0"/>
                <w:sz w:val="24"/>
                <w:szCs w:val="24"/>
              </w:rPr>
              <w:t>每年至少提供四次对市规划和自然资源局花都区分局网络中心机房及网络及服务器系统全面安全评估检测，进行漏洞扫描，硬件的巡检，结合常见的问题，确定系统漏洞与安全风险，提交安全评估报告，双方开会明确评估成果，方便市规划和自然资源局花都区分局管理人员根据报告了解当前信息系统的状态。</w:t>
            </w:r>
          </w:p>
          <w:p>
            <w:pPr>
              <w:pStyle w:val="17"/>
              <w:spacing w:line="360" w:lineRule="auto"/>
              <w:ind w:firstLine="600" w:firstLineChars="250"/>
              <w:rPr>
                <w:rFonts w:ascii="宋体" w:hAnsi="宋体"/>
                <w:kern w:val="0"/>
                <w:sz w:val="24"/>
                <w:szCs w:val="24"/>
              </w:rPr>
            </w:pPr>
            <w:r>
              <w:rPr>
                <w:rFonts w:hint="eastAsia" w:ascii="宋体" w:hAnsi="宋体"/>
                <w:kern w:val="0"/>
                <w:sz w:val="24"/>
                <w:szCs w:val="24"/>
              </w:rPr>
              <w:t>4、安全加固服务</w:t>
            </w:r>
          </w:p>
          <w:p>
            <w:pPr>
              <w:pStyle w:val="17"/>
              <w:spacing w:line="360" w:lineRule="auto"/>
              <w:ind w:firstLine="420"/>
              <w:rPr>
                <w:rFonts w:ascii="宋体" w:hAnsi="宋体"/>
                <w:kern w:val="0"/>
                <w:sz w:val="24"/>
                <w:szCs w:val="24"/>
              </w:rPr>
            </w:pPr>
            <w:r>
              <w:rPr>
                <w:rFonts w:hint="eastAsia" w:ascii="宋体" w:hAnsi="宋体"/>
                <w:kern w:val="0"/>
                <w:sz w:val="24"/>
                <w:szCs w:val="24"/>
              </w:rPr>
              <w:t>根据安全评估工作得出的报告，对采购人自有管理权限的全部服务器进行安全加固，增强系统的抗攻击性。</w:t>
            </w:r>
          </w:p>
          <w:p>
            <w:pPr>
              <w:pStyle w:val="3"/>
              <w:ind w:left="0" w:firstLine="480" w:firstLineChars="200"/>
              <w:rPr>
                <w:rFonts w:ascii="微软雅黑" w:hAnsi="微软雅黑" w:eastAsia="微软雅黑" w:cs="仿宋_GB2312"/>
                <w:b/>
                <w:szCs w:val="24"/>
              </w:rPr>
            </w:pPr>
            <w:r>
              <w:rPr>
                <w:rFonts w:hint="eastAsia" w:ascii="微软雅黑" w:hAnsi="微软雅黑" w:eastAsia="微软雅黑" w:cs="仿宋_GB2312"/>
                <w:b/>
                <w:szCs w:val="24"/>
              </w:rPr>
              <w:t>2. 会议系统</w:t>
            </w:r>
          </w:p>
          <w:p>
            <w:pPr>
              <w:spacing w:line="360" w:lineRule="auto"/>
              <w:ind w:firstLine="560"/>
              <w:rPr>
                <w:rFonts w:ascii="微软雅黑" w:hAnsi="微软雅黑" w:eastAsia="微软雅黑" w:cs="仿宋_GB2312"/>
                <w:sz w:val="24"/>
              </w:rPr>
            </w:pPr>
            <w:r>
              <w:rPr>
                <w:rFonts w:hint="eastAsia" w:ascii="微软雅黑" w:hAnsi="微软雅黑" w:eastAsia="微软雅黑" w:cs="仿宋_GB2312"/>
                <w:sz w:val="24"/>
              </w:rPr>
              <w:t>现状：</w:t>
            </w:r>
          </w:p>
          <w:p>
            <w:pPr>
              <w:pStyle w:val="15"/>
              <w:spacing w:line="360" w:lineRule="auto"/>
              <w:ind w:left="-539" w:leftChars="-257" w:firstLine="539"/>
            </w:pPr>
            <w:r>
              <w:rPr>
                <w:rFonts w:hint="eastAsia"/>
              </w:rPr>
              <w:t>（1）区局大楼会议室</w:t>
            </w:r>
          </w:p>
          <w:tbl>
            <w:tblPr>
              <w:tblStyle w:val="9"/>
              <w:tblW w:w="9298" w:type="dxa"/>
              <w:tblInd w:w="0" w:type="dxa"/>
              <w:tblLayout w:type="fixed"/>
              <w:tblCellMar>
                <w:top w:w="0" w:type="dxa"/>
                <w:left w:w="108" w:type="dxa"/>
                <w:bottom w:w="0" w:type="dxa"/>
                <w:right w:w="108" w:type="dxa"/>
              </w:tblCellMar>
            </w:tblPr>
            <w:tblGrid>
              <w:gridCol w:w="827"/>
              <w:gridCol w:w="1614"/>
              <w:gridCol w:w="389"/>
              <w:gridCol w:w="743"/>
              <w:gridCol w:w="5725"/>
            </w:tblGrid>
            <w:tr>
              <w:tblPrEx>
                <w:tblCellMar>
                  <w:top w:w="0" w:type="dxa"/>
                  <w:left w:w="108" w:type="dxa"/>
                  <w:bottom w:w="0" w:type="dxa"/>
                  <w:right w:w="108" w:type="dxa"/>
                </w:tblCellMar>
              </w:tblPrEx>
              <w:trPr>
                <w:trHeight w:val="301" w:hRule="atLeast"/>
              </w:trPr>
              <w:tc>
                <w:tcPr>
                  <w:tcW w:w="827" w:type="dxa"/>
                  <w:tcBorders>
                    <w:top w:val="single" w:color="auto" w:sz="4" w:space="0"/>
                    <w:left w:val="single" w:color="auto" w:sz="8" w:space="0"/>
                    <w:bottom w:val="single" w:color="auto" w:sz="4" w:space="0"/>
                    <w:right w:val="single" w:color="auto" w:sz="4" w:space="0"/>
                  </w:tcBorders>
                  <w:vAlign w:val="center"/>
                </w:tcPr>
                <w:p>
                  <w:pPr>
                    <w:pStyle w:val="15"/>
                    <w:spacing w:line="360" w:lineRule="auto"/>
                    <w:ind w:left="-539" w:leftChars="-257" w:firstLine="539"/>
                  </w:pPr>
                  <w:r>
                    <w:rPr>
                      <w:rFonts w:hint="eastAsia"/>
                    </w:rPr>
                    <w:t>楼层</w:t>
                  </w:r>
                </w:p>
              </w:tc>
              <w:tc>
                <w:tcPr>
                  <w:tcW w:w="1614" w:type="dxa"/>
                  <w:tcBorders>
                    <w:top w:val="single" w:color="auto" w:sz="4" w:space="0"/>
                    <w:left w:val="nil"/>
                    <w:bottom w:val="single" w:color="auto" w:sz="4" w:space="0"/>
                    <w:right w:val="single" w:color="000000" w:sz="4" w:space="0"/>
                  </w:tcBorders>
                  <w:vAlign w:val="center"/>
                </w:tcPr>
                <w:p>
                  <w:pPr>
                    <w:pStyle w:val="15"/>
                    <w:spacing w:line="360" w:lineRule="auto"/>
                    <w:ind w:left="-539" w:leftChars="-257" w:firstLine="539"/>
                  </w:pPr>
                  <w:r>
                    <w:rPr>
                      <w:rFonts w:hint="eastAsia"/>
                    </w:rPr>
                    <w:t>会议室</w:t>
                  </w:r>
                </w:p>
              </w:tc>
              <w:tc>
                <w:tcPr>
                  <w:tcW w:w="389" w:type="dxa"/>
                  <w:tcBorders>
                    <w:top w:val="single" w:color="auto" w:sz="4" w:space="0"/>
                    <w:left w:val="nil"/>
                    <w:bottom w:val="single" w:color="auto" w:sz="4" w:space="0"/>
                    <w:right w:val="single" w:color="auto" w:sz="4" w:space="0"/>
                  </w:tcBorders>
                  <w:vAlign w:val="center"/>
                </w:tcPr>
                <w:p>
                  <w:pPr>
                    <w:pStyle w:val="15"/>
                    <w:spacing w:line="360" w:lineRule="auto"/>
                    <w:ind w:left="-539" w:leftChars="-257" w:firstLine="539"/>
                  </w:pPr>
                  <w:r>
                    <w:rPr>
                      <w:rFonts w:hint="eastAsia"/>
                    </w:rPr>
                    <w:t>投影仪</w:t>
                  </w:r>
                </w:p>
              </w:tc>
              <w:tc>
                <w:tcPr>
                  <w:tcW w:w="743" w:type="dxa"/>
                  <w:tcBorders>
                    <w:top w:val="single" w:color="auto" w:sz="4" w:space="0"/>
                    <w:left w:val="nil"/>
                    <w:bottom w:val="single" w:color="auto" w:sz="4" w:space="0"/>
                    <w:right w:val="single" w:color="auto" w:sz="4" w:space="0"/>
                  </w:tcBorders>
                  <w:vAlign w:val="center"/>
                </w:tcPr>
                <w:p>
                  <w:pPr>
                    <w:pStyle w:val="15"/>
                    <w:spacing w:line="360" w:lineRule="auto"/>
                    <w:ind w:left="-539" w:leftChars="-257" w:firstLine="539"/>
                  </w:pPr>
                  <w:r>
                    <w:rPr>
                      <w:rFonts w:hint="eastAsia"/>
                    </w:rPr>
                    <w:t>投影幕</w:t>
                  </w:r>
                </w:p>
              </w:tc>
              <w:tc>
                <w:tcPr>
                  <w:tcW w:w="5725" w:type="dxa"/>
                  <w:tcBorders>
                    <w:top w:val="single" w:color="auto" w:sz="4" w:space="0"/>
                    <w:left w:val="nil"/>
                    <w:bottom w:val="single" w:color="auto" w:sz="4" w:space="0"/>
                    <w:right w:val="single" w:color="000000" w:sz="4" w:space="0"/>
                  </w:tcBorders>
                  <w:vAlign w:val="center"/>
                </w:tcPr>
                <w:p>
                  <w:pPr>
                    <w:pStyle w:val="15"/>
                    <w:spacing w:line="360" w:lineRule="auto"/>
                    <w:ind w:left="-539" w:leftChars="-257" w:firstLine="539"/>
                  </w:pPr>
                  <w:r>
                    <w:rPr>
                      <w:rFonts w:hint="eastAsia"/>
                    </w:rPr>
                    <w:t>会议常用设备</w:t>
                  </w:r>
                </w:p>
              </w:tc>
            </w:tr>
            <w:tr>
              <w:tblPrEx>
                <w:tblCellMar>
                  <w:top w:w="0" w:type="dxa"/>
                  <w:left w:w="108" w:type="dxa"/>
                  <w:bottom w:w="0" w:type="dxa"/>
                  <w:right w:w="108" w:type="dxa"/>
                </w:tblCellMar>
              </w:tblPrEx>
              <w:trPr>
                <w:trHeight w:val="301" w:hRule="atLeast"/>
              </w:trPr>
              <w:tc>
                <w:tcPr>
                  <w:tcW w:w="827" w:type="dxa"/>
                  <w:vMerge w:val="restart"/>
                  <w:tcBorders>
                    <w:top w:val="nil"/>
                    <w:left w:val="single" w:color="auto" w:sz="8" w:space="0"/>
                    <w:right w:val="single" w:color="auto" w:sz="4" w:space="0"/>
                  </w:tcBorders>
                  <w:vAlign w:val="center"/>
                </w:tcPr>
                <w:p>
                  <w:pPr>
                    <w:pStyle w:val="15"/>
                    <w:spacing w:line="360" w:lineRule="auto"/>
                    <w:ind w:left="-539" w:leftChars="-257" w:firstLine="539"/>
                  </w:pPr>
                  <w:r>
                    <w:rPr>
                      <w:rFonts w:hint="eastAsia"/>
                    </w:rPr>
                    <w:t>三楼</w:t>
                  </w:r>
                </w:p>
              </w:tc>
              <w:tc>
                <w:tcPr>
                  <w:tcW w:w="1614" w:type="dxa"/>
                  <w:tcBorders>
                    <w:top w:val="single" w:color="auto" w:sz="4" w:space="0"/>
                    <w:left w:val="nil"/>
                    <w:bottom w:val="single" w:color="auto" w:sz="4" w:space="0"/>
                    <w:right w:val="single" w:color="auto" w:sz="4" w:space="0"/>
                  </w:tcBorders>
                  <w:vAlign w:val="center"/>
                </w:tcPr>
                <w:p>
                  <w:pPr>
                    <w:pStyle w:val="15"/>
                    <w:spacing w:line="360" w:lineRule="auto"/>
                    <w:ind w:left="-539" w:leftChars="-257" w:firstLine="539"/>
                  </w:pPr>
                  <w:r>
                    <w:rPr>
                      <w:rFonts w:hint="eastAsia"/>
                    </w:rPr>
                    <w:t>304会议室</w:t>
                  </w:r>
                </w:p>
              </w:tc>
              <w:tc>
                <w:tcPr>
                  <w:tcW w:w="389" w:type="dxa"/>
                  <w:tcBorders>
                    <w:top w:val="nil"/>
                    <w:left w:val="nil"/>
                    <w:bottom w:val="single" w:color="auto" w:sz="4" w:space="0"/>
                    <w:right w:val="single" w:color="auto" w:sz="4" w:space="0"/>
                  </w:tcBorders>
                  <w:vAlign w:val="center"/>
                </w:tcPr>
                <w:p>
                  <w:pPr>
                    <w:pStyle w:val="15"/>
                    <w:spacing w:line="360" w:lineRule="auto"/>
                    <w:ind w:left="-539" w:leftChars="-257" w:firstLine="539"/>
                  </w:pPr>
                  <w:r>
                    <w:rPr>
                      <w:rFonts w:hint="eastAsia"/>
                    </w:rPr>
                    <w:t>1</w:t>
                  </w:r>
                </w:p>
              </w:tc>
              <w:tc>
                <w:tcPr>
                  <w:tcW w:w="743" w:type="dxa"/>
                  <w:tcBorders>
                    <w:top w:val="nil"/>
                    <w:left w:val="nil"/>
                    <w:bottom w:val="single" w:color="auto" w:sz="4" w:space="0"/>
                    <w:right w:val="single" w:color="auto" w:sz="4" w:space="0"/>
                  </w:tcBorders>
                  <w:vAlign w:val="center"/>
                </w:tcPr>
                <w:p>
                  <w:pPr>
                    <w:pStyle w:val="15"/>
                    <w:spacing w:line="360" w:lineRule="auto"/>
                    <w:ind w:left="-539" w:leftChars="-257" w:firstLine="539"/>
                  </w:pPr>
                  <w:r>
                    <w:rPr>
                      <w:rFonts w:hint="eastAsia"/>
                    </w:rPr>
                    <w:t>1</w:t>
                  </w:r>
                </w:p>
              </w:tc>
              <w:tc>
                <w:tcPr>
                  <w:tcW w:w="5725" w:type="dxa"/>
                  <w:tcBorders>
                    <w:top w:val="single" w:color="auto" w:sz="4" w:space="0"/>
                    <w:left w:val="nil"/>
                    <w:bottom w:val="single" w:color="auto" w:sz="4" w:space="0"/>
                    <w:right w:val="single" w:color="000000" w:sz="4" w:space="0"/>
                  </w:tcBorders>
                  <w:vAlign w:val="center"/>
                </w:tcPr>
                <w:p>
                  <w:pPr>
                    <w:pStyle w:val="15"/>
                    <w:spacing w:line="360" w:lineRule="auto"/>
                    <w:ind w:left="-539" w:leftChars="-257" w:firstLine="539"/>
                  </w:pPr>
                  <w:r>
                    <w:rPr>
                      <w:rFonts w:hint="eastAsia"/>
                    </w:rPr>
                    <w:t>手提电脑，吸顶音箱，投影仪，两台85寸电视，无线麦克风</w:t>
                  </w:r>
                </w:p>
              </w:tc>
            </w:tr>
            <w:tr>
              <w:tblPrEx>
                <w:tblCellMar>
                  <w:top w:w="0" w:type="dxa"/>
                  <w:left w:w="108" w:type="dxa"/>
                  <w:bottom w:w="0" w:type="dxa"/>
                  <w:right w:w="108" w:type="dxa"/>
                </w:tblCellMar>
              </w:tblPrEx>
              <w:trPr>
                <w:trHeight w:val="301" w:hRule="atLeast"/>
              </w:trPr>
              <w:tc>
                <w:tcPr>
                  <w:tcW w:w="827" w:type="dxa"/>
                  <w:vMerge w:val="continue"/>
                  <w:tcBorders>
                    <w:left w:val="single" w:color="auto" w:sz="8" w:space="0"/>
                    <w:bottom w:val="single" w:color="000000" w:sz="4" w:space="0"/>
                    <w:right w:val="single" w:color="auto" w:sz="4" w:space="0"/>
                  </w:tcBorders>
                  <w:vAlign w:val="center"/>
                </w:tcPr>
                <w:p>
                  <w:pPr>
                    <w:pStyle w:val="15"/>
                    <w:spacing w:line="360" w:lineRule="auto"/>
                    <w:ind w:left="-539" w:leftChars="-257" w:firstLine="539"/>
                  </w:pPr>
                </w:p>
              </w:tc>
              <w:tc>
                <w:tcPr>
                  <w:tcW w:w="1614" w:type="dxa"/>
                  <w:tcBorders>
                    <w:top w:val="single" w:color="auto" w:sz="4" w:space="0"/>
                    <w:left w:val="nil"/>
                    <w:bottom w:val="single" w:color="auto" w:sz="4" w:space="0"/>
                    <w:right w:val="single" w:color="auto" w:sz="4" w:space="0"/>
                  </w:tcBorders>
                  <w:vAlign w:val="center"/>
                </w:tcPr>
                <w:p>
                  <w:pPr>
                    <w:pStyle w:val="15"/>
                    <w:spacing w:line="360" w:lineRule="auto"/>
                    <w:ind w:left="-539" w:leftChars="-257" w:firstLine="539"/>
                  </w:pPr>
                  <w:r>
                    <w:rPr>
                      <w:rFonts w:hint="eastAsia"/>
                    </w:rPr>
                    <w:t>320会议室</w:t>
                  </w:r>
                </w:p>
              </w:tc>
              <w:tc>
                <w:tcPr>
                  <w:tcW w:w="389" w:type="dxa"/>
                  <w:tcBorders>
                    <w:top w:val="nil"/>
                    <w:left w:val="nil"/>
                    <w:bottom w:val="single" w:color="auto" w:sz="4" w:space="0"/>
                    <w:right w:val="single" w:color="auto" w:sz="4" w:space="0"/>
                  </w:tcBorders>
                  <w:vAlign w:val="center"/>
                </w:tcPr>
                <w:p>
                  <w:pPr>
                    <w:pStyle w:val="15"/>
                    <w:spacing w:line="360" w:lineRule="auto"/>
                    <w:ind w:left="-539" w:leftChars="-257" w:firstLine="539"/>
                  </w:pPr>
                  <w:r>
                    <w:rPr>
                      <w:rFonts w:hint="eastAsia"/>
                    </w:rPr>
                    <w:t>1</w:t>
                  </w:r>
                </w:p>
              </w:tc>
              <w:tc>
                <w:tcPr>
                  <w:tcW w:w="743" w:type="dxa"/>
                  <w:tcBorders>
                    <w:top w:val="nil"/>
                    <w:left w:val="nil"/>
                    <w:bottom w:val="single" w:color="auto" w:sz="4" w:space="0"/>
                    <w:right w:val="single" w:color="auto" w:sz="4" w:space="0"/>
                  </w:tcBorders>
                  <w:vAlign w:val="center"/>
                </w:tcPr>
                <w:p>
                  <w:pPr>
                    <w:pStyle w:val="15"/>
                    <w:spacing w:line="360" w:lineRule="auto"/>
                    <w:ind w:left="-539" w:leftChars="-257" w:firstLine="539"/>
                  </w:pPr>
                  <w:r>
                    <w:rPr>
                      <w:rFonts w:hint="eastAsia"/>
                    </w:rPr>
                    <w:t>1</w:t>
                  </w:r>
                </w:p>
              </w:tc>
              <w:tc>
                <w:tcPr>
                  <w:tcW w:w="5725" w:type="dxa"/>
                  <w:tcBorders>
                    <w:top w:val="single" w:color="auto" w:sz="4" w:space="0"/>
                    <w:left w:val="nil"/>
                    <w:bottom w:val="single" w:color="auto" w:sz="4" w:space="0"/>
                    <w:right w:val="single" w:color="000000" w:sz="4" w:space="0"/>
                  </w:tcBorders>
                  <w:vAlign w:val="center"/>
                </w:tcPr>
                <w:p>
                  <w:pPr>
                    <w:pStyle w:val="15"/>
                    <w:spacing w:line="360" w:lineRule="auto"/>
                    <w:ind w:left="-539" w:leftChars="-257" w:firstLine="539"/>
                  </w:pPr>
                  <w:r>
                    <w:rPr>
                      <w:rFonts w:hint="eastAsia"/>
                    </w:rPr>
                    <w:t>微型电脑，电视机，插板</w:t>
                  </w:r>
                </w:p>
              </w:tc>
            </w:tr>
            <w:tr>
              <w:tblPrEx>
                <w:tblCellMar>
                  <w:top w:w="0" w:type="dxa"/>
                  <w:left w:w="108" w:type="dxa"/>
                  <w:bottom w:w="0" w:type="dxa"/>
                  <w:right w:w="108" w:type="dxa"/>
                </w:tblCellMar>
              </w:tblPrEx>
              <w:trPr>
                <w:trHeight w:val="301" w:hRule="atLeast"/>
              </w:trPr>
              <w:tc>
                <w:tcPr>
                  <w:tcW w:w="827" w:type="dxa"/>
                  <w:vMerge w:val="restart"/>
                  <w:tcBorders>
                    <w:top w:val="nil"/>
                    <w:left w:val="single" w:color="auto" w:sz="8" w:space="0"/>
                    <w:right w:val="single" w:color="auto" w:sz="4" w:space="0"/>
                  </w:tcBorders>
                  <w:vAlign w:val="center"/>
                </w:tcPr>
                <w:p>
                  <w:pPr>
                    <w:pStyle w:val="15"/>
                    <w:spacing w:line="360" w:lineRule="auto"/>
                    <w:ind w:left="-539" w:leftChars="-257" w:firstLine="539"/>
                  </w:pPr>
                  <w:r>
                    <w:rPr>
                      <w:rFonts w:hint="eastAsia"/>
                    </w:rPr>
                    <w:t>六楼</w:t>
                  </w:r>
                </w:p>
              </w:tc>
              <w:tc>
                <w:tcPr>
                  <w:tcW w:w="1614" w:type="dxa"/>
                  <w:tcBorders>
                    <w:top w:val="single" w:color="auto" w:sz="4" w:space="0"/>
                    <w:left w:val="nil"/>
                    <w:bottom w:val="single" w:color="auto" w:sz="4" w:space="0"/>
                    <w:right w:val="single" w:color="auto" w:sz="4" w:space="0"/>
                  </w:tcBorders>
                  <w:vAlign w:val="center"/>
                </w:tcPr>
                <w:p>
                  <w:pPr>
                    <w:pStyle w:val="15"/>
                    <w:spacing w:line="360" w:lineRule="auto"/>
                    <w:ind w:left="-539" w:leftChars="-257" w:firstLine="539"/>
                  </w:pPr>
                  <w:r>
                    <w:rPr>
                      <w:rFonts w:hint="eastAsia"/>
                    </w:rPr>
                    <w:t>党组会议室</w:t>
                  </w:r>
                </w:p>
              </w:tc>
              <w:tc>
                <w:tcPr>
                  <w:tcW w:w="389" w:type="dxa"/>
                  <w:tcBorders>
                    <w:top w:val="nil"/>
                    <w:left w:val="nil"/>
                    <w:bottom w:val="single" w:color="auto" w:sz="4" w:space="0"/>
                    <w:right w:val="single" w:color="auto" w:sz="4" w:space="0"/>
                  </w:tcBorders>
                  <w:vAlign w:val="center"/>
                </w:tcPr>
                <w:p>
                  <w:pPr>
                    <w:pStyle w:val="15"/>
                    <w:spacing w:line="360" w:lineRule="auto"/>
                    <w:ind w:left="-539" w:leftChars="-257" w:firstLine="539"/>
                  </w:pPr>
                  <w:r>
                    <w:rPr>
                      <w:rFonts w:hint="eastAsia"/>
                    </w:rPr>
                    <w:t>1</w:t>
                  </w:r>
                </w:p>
              </w:tc>
              <w:tc>
                <w:tcPr>
                  <w:tcW w:w="743" w:type="dxa"/>
                  <w:tcBorders>
                    <w:top w:val="nil"/>
                    <w:left w:val="nil"/>
                    <w:bottom w:val="single" w:color="auto" w:sz="4" w:space="0"/>
                    <w:right w:val="single" w:color="auto" w:sz="4" w:space="0"/>
                  </w:tcBorders>
                  <w:vAlign w:val="center"/>
                </w:tcPr>
                <w:p>
                  <w:pPr>
                    <w:pStyle w:val="15"/>
                    <w:spacing w:line="360" w:lineRule="auto"/>
                    <w:ind w:left="-539" w:leftChars="-257" w:firstLine="539"/>
                  </w:pPr>
                  <w:r>
                    <w:rPr>
                      <w:rFonts w:hint="eastAsia"/>
                    </w:rPr>
                    <w:t>1</w:t>
                  </w:r>
                </w:p>
              </w:tc>
              <w:tc>
                <w:tcPr>
                  <w:tcW w:w="5725" w:type="dxa"/>
                  <w:tcBorders>
                    <w:top w:val="single" w:color="auto" w:sz="4" w:space="0"/>
                    <w:left w:val="nil"/>
                    <w:bottom w:val="single" w:color="auto" w:sz="4" w:space="0"/>
                    <w:right w:val="single" w:color="000000" w:sz="4" w:space="0"/>
                  </w:tcBorders>
                  <w:vAlign w:val="center"/>
                </w:tcPr>
                <w:p>
                  <w:pPr>
                    <w:pStyle w:val="15"/>
                    <w:spacing w:line="360" w:lineRule="auto"/>
                    <w:ind w:left="-539" w:leftChars="-257" w:firstLine="539"/>
                  </w:pPr>
                  <w:r>
                    <w:rPr>
                      <w:rFonts w:hint="eastAsia"/>
                    </w:rPr>
                    <w:t>微型电脑，投影仪，插板，吸顶音箱</w:t>
                  </w:r>
                </w:p>
              </w:tc>
            </w:tr>
            <w:tr>
              <w:tblPrEx>
                <w:tblCellMar>
                  <w:top w:w="0" w:type="dxa"/>
                  <w:left w:w="108" w:type="dxa"/>
                  <w:bottom w:w="0" w:type="dxa"/>
                  <w:right w:w="108" w:type="dxa"/>
                </w:tblCellMar>
              </w:tblPrEx>
              <w:trPr>
                <w:trHeight w:val="301" w:hRule="atLeast"/>
              </w:trPr>
              <w:tc>
                <w:tcPr>
                  <w:tcW w:w="827" w:type="dxa"/>
                  <w:vMerge w:val="continue"/>
                  <w:tcBorders>
                    <w:left w:val="single" w:color="auto" w:sz="8" w:space="0"/>
                    <w:right w:val="single" w:color="auto" w:sz="4" w:space="0"/>
                  </w:tcBorders>
                  <w:vAlign w:val="center"/>
                </w:tcPr>
                <w:p>
                  <w:pPr>
                    <w:pStyle w:val="15"/>
                    <w:spacing w:line="360" w:lineRule="auto"/>
                    <w:ind w:left="-539" w:leftChars="-257" w:firstLine="539"/>
                  </w:pPr>
                </w:p>
              </w:tc>
              <w:tc>
                <w:tcPr>
                  <w:tcW w:w="1614" w:type="dxa"/>
                  <w:tcBorders>
                    <w:top w:val="single" w:color="auto" w:sz="4" w:space="0"/>
                    <w:left w:val="nil"/>
                    <w:bottom w:val="single" w:color="auto" w:sz="4" w:space="0"/>
                    <w:right w:val="single" w:color="auto" w:sz="4" w:space="0"/>
                  </w:tcBorders>
                  <w:vAlign w:val="center"/>
                </w:tcPr>
                <w:p>
                  <w:pPr>
                    <w:pStyle w:val="15"/>
                    <w:spacing w:line="360" w:lineRule="auto"/>
                    <w:ind w:left="-539" w:leftChars="-257" w:firstLine="539"/>
                  </w:pPr>
                  <w:r>
                    <w:rPr>
                      <w:rFonts w:hint="eastAsia"/>
                    </w:rPr>
                    <w:t>605会议室</w:t>
                  </w:r>
                </w:p>
              </w:tc>
              <w:tc>
                <w:tcPr>
                  <w:tcW w:w="389" w:type="dxa"/>
                  <w:tcBorders>
                    <w:top w:val="nil"/>
                    <w:left w:val="nil"/>
                    <w:bottom w:val="single" w:color="auto" w:sz="4" w:space="0"/>
                    <w:right w:val="single" w:color="auto" w:sz="4" w:space="0"/>
                  </w:tcBorders>
                  <w:vAlign w:val="center"/>
                </w:tcPr>
                <w:p>
                  <w:pPr>
                    <w:pStyle w:val="15"/>
                    <w:spacing w:line="360" w:lineRule="auto"/>
                    <w:ind w:left="-539" w:leftChars="-257" w:firstLine="539"/>
                  </w:pPr>
                  <w:r>
                    <w:rPr>
                      <w:rFonts w:hint="eastAsia"/>
                    </w:rPr>
                    <w:t>0</w:t>
                  </w:r>
                </w:p>
              </w:tc>
              <w:tc>
                <w:tcPr>
                  <w:tcW w:w="743" w:type="dxa"/>
                  <w:tcBorders>
                    <w:top w:val="nil"/>
                    <w:left w:val="nil"/>
                    <w:bottom w:val="single" w:color="auto" w:sz="4" w:space="0"/>
                    <w:right w:val="single" w:color="auto" w:sz="4" w:space="0"/>
                  </w:tcBorders>
                  <w:vAlign w:val="center"/>
                </w:tcPr>
                <w:p>
                  <w:pPr>
                    <w:pStyle w:val="15"/>
                    <w:spacing w:line="360" w:lineRule="auto"/>
                    <w:ind w:left="-539" w:leftChars="-257" w:firstLine="539"/>
                  </w:pPr>
                  <w:r>
                    <w:rPr>
                      <w:rFonts w:hint="eastAsia"/>
                    </w:rPr>
                    <w:t>0</w:t>
                  </w:r>
                </w:p>
              </w:tc>
              <w:tc>
                <w:tcPr>
                  <w:tcW w:w="5725" w:type="dxa"/>
                  <w:tcBorders>
                    <w:top w:val="single" w:color="auto" w:sz="4" w:space="0"/>
                    <w:left w:val="nil"/>
                    <w:bottom w:val="single" w:color="auto" w:sz="4" w:space="0"/>
                    <w:right w:val="single" w:color="000000" w:sz="4" w:space="0"/>
                  </w:tcBorders>
                  <w:vAlign w:val="center"/>
                </w:tcPr>
                <w:p>
                  <w:pPr>
                    <w:pStyle w:val="15"/>
                    <w:spacing w:line="360" w:lineRule="auto"/>
                    <w:ind w:left="-539" w:leftChars="-257" w:firstLine="539"/>
                  </w:pPr>
                  <w:r>
                    <w:rPr>
                      <w:rFonts w:hint="eastAsia"/>
                    </w:rPr>
                    <w:t>电视机，插板，微型电脑</w:t>
                  </w:r>
                </w:p>
              </w:tc>
            </w:tr>
            <w:tr>
              <w:tblPrEx>
                <w:tblCellMar>
                  <w:top w:w="0" w:type="dxa"/>
                  <w:left w:w="108" w:type="dxa"/>
                  <w:bottom w:w="0" w:type="dxa"/>
                  <w:right w:w="108" w:type="dxa"/>
                </w:tblCellMar>
              </w:tblPrEx>
              <w:trPr>
                <w:trHeight w:val="301" w:hRule="atLeast"/>
              </w:trPr>
              <w:tc>
                <w:tcPr>
                  <w:tcW w:w="827" w:type="dxa"/>
                  <w:vMerge w:val="continue"/>
                  <w:tcBorders>
                    <w:left w:val="single" w:color="auto" w:sz="8" w:space="0"/>
                    <w:bottom w:val="single" w:color="000000" w:sz="4" w:space="0"/>
                    <w:right w:val="single" w:color="auto" w:sz="4" w:space="0"/>
                  </w:tcBorders>
                  <w:vAlign w:val="center"/>
                </w:tcPr>
                <w:p>
                  <w:pPr>
                    <w:pStyle w:val="15"/>
                    <w:spacing w:line="360" w:lineRule="auto"/>
                    <w:ind w:left="-539" w:leftChars="-257" w:firstLine="539"/>
                  </w:pPr>
                </w:p>
              </w:tc>
              <w:tc>
                <w:tcPr>
                  <w:tcW w:w="1614" w:type="dxa"/>
                  <w:tcBorders>
                    <w:top w:val="single" w:color="auto" w:sz="4" w:space="0"/>
                    <w:left w:val="nil"/>
                    <w:bottom w:val="single" w:color="auto" w:sz="4" w:space="0"/>
                    <w:right w:val="single" w:color="auto" w:sz="4" w:space="0"/>
                  </w:tcBorders>
                  <w:vAlign w:val="center"/>
                </w:tcPr>
                <w:p>
                  <w:pPr>
                    <w:pStyle w:val="15"/>
                    <w:spacing w:line="360" w:lineRule="auto"/>
                    <w:ind w:left="-539" w:leftChars="-257" w:firstLine="539"/>
                  </w:pPr>
                  <w:r>
                    <w:rPr>
                      <w:rFonts w:hint="eastAsia"/>
                    </w:rPr>
                    <w:t>620会议室</w:t>
                  </w:r>
                </w:p>
              </w:tc>
              <w:tc>
                <w:tcPr>
                  <w:tcW w:w="389" w:type="dxa"/>
                  <w:tcBorders>
                    <w:top w:val="nil"/>
                    <w:left w:val="nil"/>
                    <w:bottom w:val="single" w:color="auto" w:sz="4" w:space="0"/>
                    <w:right w:val="single" w:color="auto" w:sz="4" w:space="0"/>
                  </w:tcBorders>
                  <w:vAlign w:val="center"/>
                </w:tcPr>
                <w:p>
                  <w:pPr>
                    <w:pStyle w:val="15"/>
                    <w:spacing w:line="360" w:lineRule="auto"/>
                    <w:ind w:left="-539" w:leftChars="-257" w:firstLine="539"/>
                  </w:pPr>
                  <w:r>
                    <w:rPr>
                      <w:rFonts w:hint="eastAsia"/>
                    </w:rPr>
                    <w:t>1</w:t>
                  </w:r>
                </w:p>
              </w:tc>
              <w:tc>
                <w:tcPr>
                  <w:tcW w:w="743" w:type="dxa"/>
                  <w:tcBorders>
                    <w:top w:val="nil"/>
                    <w:left w:val="nil"/>
                    <w:bottom w:val="single" w:color="auto" w:sz="4" w:space="0"/>
                    <w:right w:val="single" w:color="auto" w:sz="4" w:space="0"/>
                  </w:tcBorders>
                  <w:vAlign w:val="center"/>
                </w:tcPr>
                <w:p>
                  <w:pPr>
                    <w:pStyle w:val="15"/>
                    <w:spacing w:line="360" w:lineRule="auto"/>
                    <w:ind w:left="-539" w:leftChars="-257" w:firstLine="539"/>
                  </w:pPr>
                  <w:r>
                    <w:rPr>
                      <w:rFonts w:hint="eastAsia"/>
                    </w:rPr>
                    <w:t>1</w:t>
                  </w:r>
                </w:p>
              </w:tc>
              <w:tc>
                <w:tcPr>
                  <w:tcW w:w="5725" w:type="dxa"/>
                  <w:tcBorders>
                    <w:top w:val="single" w:color="auto" w:sz="4" w:space="0"/>
                    <w:left w:val="nil"/>
                    <w:bottom w:val="single" w:color="auto" w:sz="4" w:space="0"/>
                    <w:right w:val="single" w:color="000000" w:sz="4" w:space="0"/>
                  </w:tcBorders>
                  <w:vAlign w:val="center"/>
                </w:tcPr>
                <w:p>
                  <w:pPr>
                    <w:pStyle w:val="15"/>
                    <w:spacing w:line="360" w:lineRule="auto"/>
                    <w:ind w:left="-539" w:leftChars="-257" w:firstLine="539"/>
                  </w:pPr>
                  <w:r>
                    <w:rPr>
                      <w:rFonts w:hint="eastAsia"/>
                    </w:rPr>
                    <w:t>台式电脑，插板，投影仪，音响</w:t>
                  </w:r>
                </w:p>
              </w:tc>
            </w:tr>
            <w:tr>
              <w:tblPrEx>
                <w:tblCellMar>
                  <w:top w:w="0" w:type="dxa"/>
                  <w:left w:w="108" w:type="dxa"/>
                  <w:bottom w:w="0" w:type="dxa"/>
                  <w:right w:w="108" w:type="dxa"/>
                </w:tblCellMar>
              </w:tblPrEx>
              <w:trPr>
                <w:trHeight w:val="301" w:hRule="atLeast"/>
              </w:trPr>
              <w:tc>
                <w:tcPr>
                  <w:tcW w:w="827" w:type="dxa"/>
                  <w:vMerge w:val="restart"/>
                  <w:tcBorders>
                    <w:top w:val="nil"/>
                    <w:left w:val="single" w:color="auto" w:sz="8" w:space="0"/>
                    <w:bottom w:val="single" w:color="000000" w:sz="4" w:space="0"/>
                    <w:right w:val="single" w:color="auto" w:sz="4" w:space="0"/>
                  </w:tcBorders>
                  <w:vAlign w:val="center"/>
                </w:tcPr>
                <w:p>
                  <w:pPr>
                    <w:pStyle w:val="15"/>
                    <w:spacing w:line="360" w:lineRule="auto"/>
                    <w:ind w:left="-539" w:leftChars="-257" w:firstLine="539"/>
                  </w:pPr>
                  <w:r>
                    <w:rPr>
                      <w:rFonts w:hint="eastAsia"/>
                    </w:rPr>
                    <w:t>9楼</w:t>
                  </w:r>
                </w:p>
              </w:tc>
              <w:tc>
                <w:tcPr>
                  <w:tcW w:w="1614" w:type="dxa"/>
                  <w:tcBorders>
                    <w:top w:val="single" w:color="auto" w:sz="4" w:space="0"/>
                    <w:left w:val="nil"/>
                    <w:bottom w:val="single" w:color="auto" w:sz="4" w:space="0"/>
                    <w:right w:val="single" w:color="auto" w:sz="4" w:space="0"/>
                  </w:tcBorders>
                  <w:vAlign w:val="center"/>
                </w:tcPr>
                <w:p>
                  <w:pPr>
                    <w:pStyle w:val="15"/>
                    <w:spacing w:line="360" w:lineRule="auto"/>
                    <w:ind w:left="-539" w:leftChars="-257" w:firstLine="539"/>
                  </w:pPr>
                  <w:r>
                    <w:rPr>
                      <w:rFonts w:hint="eastAsia"/>
                    </w:rPr>
                    <w:t>901会议室</w:t>
                  </w:r>
                </w:p>
              </w:tc>
              <w:tc>
                <w:tcPr>
                  <w:tcW w:w="389" w:type="dxa"/>
                  <w:tcBorders>
                    <w:top w:val="nil"/>
                    <w:left w:val="nil"/>
                    <w:bottom w:val="single" w:color="auto" w:sz="4" w:space="0"/>
                    <w:right w:val="single" w:color="auto" w:sz="4" w:space="0"/>
                  </w:tcBorders>
                  <w:vAlign w:val="center"/>
                </w:tcPr>
                <w:p>
                  <w:pPr>
                    <w:pStyle w:val="15"/>
                    <w:spacing w:line="360" w:lineRule="auto"/>
                    <w:ind w:left="-539" w:leftChars="-257" w:firstLine="539"/>
                  </w:pPr>
                  <w:r>
                    <w:rPr>
                      <w:rFonts w:hint="eastAsia"/>
                    </w:rPr>
                    <w:t>1</w:t>
                  </w:r>
                </w:p>
              </w:tc>
              <w:tc>
                <w:tcPr>
                  <w:tcW w:w="743" w:type="dxa"/>
                  <w:tcBorders>
                    <w:top w:val="nil"/>
                    <w:left w:val="nil"/>
                    <w:bottom w:val="single" w:color="auto" w:sz="4" w:space="0"/>
                    <w:right w:val="single" w:color="auto" w:sz="4" w:space="0"/>
                  </w:tcBorders>
                  <w:vAlign w:val="center"/>
                </w:tcPr>
                <w:p>
                  <w:pPr>
                    <w:pStyle w:val="15"/>
                    <w:spacing w:line="360" w:lineRule="auto"/>
                    <w:ind w:left="-539" w:leftChars="-257" w:firstLine="539"/>
                  </w:pPr>
                  <w:r>
                    <w:rPr>
                      <w:rFonts w:hint="eastAsia"/>
                    </w:rPr>
                    <w:t>1</w:t>
                  </w:r>
                </w:p>
              </w:tc>
              <w:tc>
                <w:tcPr>
                  <w:tcW w:w="5725" w:type="dxa"/>
                  <w:tcBorders>
                    <w:top w:val="single" w:color="auto" w:sz="4" w:space="0"/>
                    <w:left w:val="nil"/>
                    <w:bottom w:val="single" w:color="auto" w:sz="4" w:space="0"/>
                    <w:right w:val="single" w:color="000000" w:sz="4" w:space="0"/>
                  </w:tcBorders>
                  <w:vAlign w:val="center"/>
                </w:tcPr>
                <w:p>
                  <w:pPr>
                    <w:pStyle w:val="15"/>
                    <w:spacing w:line="360" w:lineRule="auto"/>
                    <w:ind w:left="-539" w:leftChars="-257" w:firstLine="539"/>
                  </w:pPr>
                  <w:r>
                    <w:rPr>
                      <w:rFonts w:hint="eastAsia"/>
                    </w:rPr>
                    <w:t>微型电脑，投影仪，无线麦克风，吸顶音箱</w:t>
                  </w:r>
                </w:p>
              </w:tc>
            </w:tr>
            <w:tr>
              <w:tblPrEx>
                <w:tblCellMar>
                  <w:top w:w="0" w:type="dxa"/>
                  <w:left w:w="108" w:type="dxa"/>
                  <w:bottom w:w="0" w:type="dxa"/>
                  <w:right w:w="108" w:type="dxa"/>
                </w:tblCellMar>
              </w:tblPrEx>
              <w:trPr>
                <w:trHeight w:val="301" w:hRule="atLeast"/>
              </w:trPr>
              <w:tc>
                <w:tcPr>
                  <w:tcW w:w="827" w:type="dxa"/>
                  <w:vMerge w:val="continue"/>
                  <w:tcBorders>
                    <w:top w:val="nil"/>
                    <w:left w:val="single" w:color="auto" w:sz="8" w:space="0"/>
                    <w:bottom w:val="single" w:color="000000" w:sz="4" w:space="0"/>
                    <w:right w:val="single" w:color="auto" w:sz="4" w:space="0"/>
                  </w:tcBorders>
                  <w:vAlign w:val="center"/>
                </w:tcPr>
                <w:p>
                  <w:pPr>
                    <w:pStyle w:val="15"/>
                    <w:spacing w:line="360" w:lineRule="auto"/>
                    <w:ind w:left="-539" w:leftChars="-257" w:firstLine="539"/>
                  </w:pPr>
                </w:p>
              </w:tc>
              <w:tc>
                <w:tcPr>
                  <w:tcW w:w="1614" w:type="dxa"/>
                  <w:tcBorders>
                    <w:top w:val="single" w:color="auto" w:sz="4" w:space="0"/>
                    <w:left w:val="nil"/>
                    <w:bottom w:val="single" w:color="auto" w:sz="4" w:space="0"/>
                    <w:right w:val="single" w:color="auto" w:sz="4" w:space="0"/>
                  </w:tcBorders>
                  <w:vAlign w:val="center"/>
                </w:tcPr>
                <w:p>
                  <w:pPr>
                    <w:pStyle w:val="15"/>
                    <w:spacing w:line="360" w:lineRule="auto"/>
                    <w:ind w:left="-539" w:leftChars="-257" w:firstLine="539"/>
                  </w:pPr>
                  <w:r>
                    <w:rPr>
                      <w:rFonts w:hint="eastAsia"/>
                    </w:rPr>
                    <w:t>902会议室</w:t>
                  </w:r>
                </w:p>
              </w:tc>
              <w:tc>
                <w:tcPr>
                  <w:tcW w:w="389" w:type="dxa"/>
                  <w:tcBorders>
                    <w:top w:val="nil"/>
                    <w:left w:val="nil"/>
                    <w:bottom w:val="single" w:color="auto" w:sz="4" w:space="0"/>
                    <w:right w:val="single" w:color="auto" w:sz="4" w:space="0"/>
                  </w:tcBorders>
                  <w:vAlign w:val="center"/>
                </w:tcPr>
                <w:p>
                  <w:pPr>
                    <w:pStyle w:val="15"/>
                    <w:spacing w:line="360" w:lineRule="auto"/>
                    <w:ind w:left="-539" w:leftChars="-257" w:firstLine="539"/>
                  </w:pPr>
                  <w:r>
                    <w:rPr>
                      <w:rFonts w:hint="eastAsia"/>
                    </w:rPr>
                    <w:t>1</w:t>
                  </w:r>
                </w:p>
              </w:tc>
              <w:tc>
                <w:tcPr>
                  <w:tcW w:w="743" w:type="dxa"/>
                  <w:tcBorders>
                    <w:top w:val="nil"/>
                    <w:left w:val="nil"/>
                    <w:bottom w:val="single" w:color="auto" w:sz="4" w:space="0"/>
                    <w:right w:val="single" w:color="auto" w:sz="4" w:space="0"/>
                  </w:tcBorders>
                  <w:vAlign w:val="center"/>
                </w:tcPr>
                <w:p>
                  <w:pPr>
                    <w:pStyle w:val="15"/>
                    <w:spacing w:line="360" w:lineRule="auto"/>
                    <w:ind w:left="-539" w:leftChars="-257" w:firstLine="539"/>
                  </w:pPr>
                  <w:r>
                    <w:rPr>
                      <w:rFonts w:hint="eastAsia"/>
                    </w:rPr>
                    <w:t>1</w:t>
                  </w:r>
                </w:p>
              </w:tc>
              <w:tc>
                <w:tcPr>
                  <w:tcW w:w="5725" w:type="dxa"/>
                  <w:tcBorders>
                    <w:top w:val="single" w:color="auto" w:sz="4" w:space="0"/>
                    <w:left w:val="nil"/>
                    <w:bottom w:val="single" w:color="auto" w:sz="4" w:space="0"/>
                    <w:right w:val="single" w:color="000000" w:sz="4" w:space="0"/>
                  </w:tcBorders>
                  <w:vAlign w:val="center"/>
                </w:tcPr>
                <w:p>
                  <w:pPr>
                    <w:pStyle w:val="15"/>
                    <w:spacing w:line="360" w:lineRule="auto"/>
                    <w:ind w:left="-539" w:leftChars="-257" w:firstLine="539"/>
                  </w:pPr>
                  <w:r>
                    <w:rPr>
                      <w:rFonts w:hint="eastAsia"/>
                    </w:rPr>
                    <w:t>微型电脑，投影仪，插板，吸顶音箱，无线麦克风</w:t>
                  </w:r>
                </w:p>
              </w:tc>
            </w:tr>
            <w:tr>
              <w:tblPrEx>
                <w:tblCellMar>
                  <w:top w:w="0" w:type="dxa"/>
                  <w:left w:w="108" w:type="dxa"/>
                  <w:bottom w:w="0" w:type="dxa"/>
                  <w:right w:w="108" w:type="dxa"/>
                </w:tblCellMar>
              </w:tblPrEx>
              <w:trPr>
                <w:trHeight w:val="301" w:hRule="atLeast"/>
              </w:trPr>
              <w:tc>
                <w:tcPr>
                  <w:tcW w:w="827" w:type="dxa"/>
                  <w:vMerge w:val="continue"/>
                  <w:tcBorders>
                    <w:top w:val="nil"/>
                    <w:left w:val="single" w:color="auto" w:sz="8" w:space="0"/>
                    <w:bottom w:val="single" w:color="000000" w:sz="4" w:space="0"/>
                    <w:right w:val="single" w:color="auto" w:sz="4" w:space="0"/>
                  </w:tcBorders>
                  <w:vAlign w:val="center"/>
                </w:tcPr>
                <w:p>
                  <w:pPr>
                    <w:pStyle w:val="15"/>
                    <w:spacing w:line="360" w:lineRule="auto"/>
                    <w:ind w:left="-539" w:leftChars="-257" w:firstLine="539"/>
                  </w:pPr>
                </w:p>
              </w:tc>
              <w:tc>
                <w:tcPr>
                  <w:tcW w:w="1614" w:type="dxa"/>
                  <w:tcBorders>
                    <w:top w:val="single" w:color="auto" w:sz="4" w:space="0"/>
                    <w:left w:val="nil"/>
                    <w:bottom w:val="single" w:color="auto" w:sz="4" w:space="0"/>
                    <w:right w:val="single" w:color="auto" w:sz="4" w:space="0"/>
                  </w:tcBorders>
                  <w:vAlign w:val="center"/>
                </w:tcPr>
                <w:p>
                  <w:pPr>
                    <w:pStyle w:val="15"/>
                    <w:spacing w:line="360" w:lineRule="auto"/>
                    <w:ind w:left="-539" w:leftChars="-257" w:firstLine="539"/>
                  </w:pPr>
                  <w:r>
                    <w:rPr>
                      <w:rFonts w:hint="eastAsia"/>
                    </w:rPr>
                    <w:t>903会议室</w:t>
                  </w:r>
                </w:p>
              </w:tc>
              <w:tc>
                <w:tcPr>
                  <w:tcW w:w="389" w:type="dxa"/>
                  <w:tcBorders>
                    <w:top w:val="nil"/>
                    <w:left w:val="nil"/>
                    <w:bottom w:val="single" w:color="auto" w:sz="4" w:space="0"/>
                    <w:right w:val="single" w:color="auto" w:sz="4" w:space="0"/>
                  </w:tcBorders>
                  <w:vAlign w:val="center"/>
                </w:tcPr>
                <w:p>
                  <w:pPr>
                    <w:pStyle w:val="15"/>
                    <w:spacing w:line="360" w:lineRule="auto"/>
                    <w:ind w:left="-539" w:leftChars="-257" w:firstLine="539"/>
                  </w:pPr>
                  <w:r>
                    <w:rPr>
                      <w:rFonts w:hint="eastAsia"/>
                    </w:rPr>
                    <w:t>1</w:t>
                  </w:r>
                </w:p>
              </w:tc>
              <w:tc>
                <w:tcPr>
                  <w:tcW w:w="743" w:type="dxa"/>
                  <w:tcBorders>
                    <w:top w:val="nil"/>
                    <w:left w:val="nil"/>
                    <w:bottom w:val="single" w:color="auto" w:sz="4" w:space="0"/>
                    <w:right w:val="single" w:color="auto" w:sz="4" w:space="0"/>
                  </w:tcBorders>
                  <w:vAlign w:val="center"/>
                </w:tcPr>
                <w:p>
                  <w:pPr>
                    <w:pStyle w:val="15"/>
                    <w:spacing w:line="360" w:lineRule="auto"/>
                    <w:ind w:left="-539" w:leftChars="-257" w:firstLine="539"/>
                  </w:pPr>
                  <w:r>
                    <w:rPr>
                      <w:rFonts w:hint="eastAsia"/>
                    </w:rPr>
                    <w:t>1</w:t>
                  </w:r>
                </w:p>
              </w:tc>
              <w:tc>
                <w:tcPr>
                  <w:tcW w:w="5725" w:type="dxa"/>
                  <w:tcBorders>
                    <w:top w:val="single" w:color="auto" w:sz="4" w:space="0"/>
                    <w:left w:val="nil"/>
                    <w:bottom w:val="single" w:color="auto" w:sz="4" w:space="0"/>
                    <w:right w:val="single" w:color="000000" w:sz="4" w:space="0"/>
                  </w:tcBorders>
                  <w:vAlign w:val="center"/>
                </w:tcPr>
                <w:p>
                  <w:pPr>
                    <w:pStyle w:val="15"/>
                    <w:spacing w:line="360" w:lineRule="auto"/>
                    <w:ind w:left="-539" w:leftChars="-257" w:firstLine="539"/>
                  </w:pPr>
                  <w:r>
                    <w:rPr>
                      <w:rFonts w:hint="eastAsia"/>
                    </w:rPr>
                    <w:t>微型电脑，投影仪，插板，吸顶音箱，无线麦克风</w:t>
                  </w:r>
                </w:p>
              </w:tc>
            </w:tr>
          </w:tbl>
          <w:p>
            <w:pPr>
              <w:pStyle w:val="15"/>
              <w:spacing w:line="360" w:lineRule="auto"/>
              <w:ind w:left="-539" w:leftChars="-257" w:firstLine="539"/>
            </w:pPr>
          </w:p>
          <w:p>
            <w:pPr>
              <w:pStyle w:val="20"/>
              <w:ind w:firstLine="0"/>
              <w:rPr>
                <w:b/>
              </w:rPr>
            </w:pPr>
            <w:r>
              <w:rPr>
                <w:rFonts w:hint="eastAsia"/>
                <w:b/>
              </w:rPr>
              <w:t>（2）视频会议设备</w:t>
            </w:r>
            <w:r>
              <w:rPr>
                <w:b/>
              </w:rPr>
              <w:t>：</w:t>
            </w:r>
          </w:p>
          <w:tbl>
            <w:tblPr>
              <w:tblStyle w:val="9"/>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616"/>
              <w:gridCol w:w="2263"/>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96" w:type="dxa"/>
                  <w:shd w:val="clear" w:color="auto" w:fill="CCCCCC"/>
                  <w:vAlign w:val="center"/>
                </w:tcPr>
                <w:p>
                  <w:pPr>
                    <w:pStyle w:val="20"/>
                    <w:ind w:firstLine="0"/>
                    <w:rPr>
                      <w:b/>
                    </w:rPr>
                  </w:pPr>
                  <w:r>
                    <w:rPr>
                      <w:rFonts w:hint="eastAsia"/>
                      <w:b/>
                    </w:rPr>
                    <w:t>序号</w:t>
                  </w:r>
                </w:p>
              </w:tc>
              <w:tc>
                <w:tcPr>
                  <w:tcW w:w="5616" w:type="dxa"/>
                  <w:shd w:val="clear" w:color="auto" w:fill="CCCCCC"/>
                  <w:vAlign w:val="center"/>
                </w:tcPr>
                <w:p>
                  <w:pPr>
                    <w:pStyle w:val="20"/>
                    <w:ind w:firstLine="0"/>
                    <w:rPr>
                      <w:b/>
                    </w:rPr>
                  </w:pPr>
                  <w:r>
                    <w:rPr>
                      <w:rFonts w:hint="eastAsia"/>
                      <w:b/>
                    </w:rPr>
                    <w:t>设备名称</w:t>
                  </w:r>
                </w:p>
              </w:tc>
              <w:tc>
                <w:tcPr>
                  <w:tcW w:w="2263" w:type="dxa"/>
                  <w:shd w:val="clear" w:color="auto" w:fill="CCCCCC"/>
                  <w:vAlign w:val="center"/>
                </w:tcPr>
                <w:p>
                  <w:pPr>
                    <w:pStyle w:val="20"/>
                    <w:ind w:firstLine="0"/>
                    <w:rPr>
                      <w:b/>
                    </w:rPr>
                  </w:pPr>
                  <w:r>
                    <w:rPr>
                      <w:rFonts w:hint="eastAsia"/>
                      <w:b/>
                    </w:rPr>
                    <w:t>设备型号</w:t>
                  </w:r>
                </w:p>
              </w:tc>
              <w:tc>
                <w:tcPr>
                  <w:tcW w:w="696" w:type="dxa"/>
                  <w:shd w:val="clear" w:color="auto" w:fill="CCCCCC"/>
                  <w:vAlign w:val="center"/>
                </w:tcPr>
                <w:p>
                  <w:pPr>
                    <w:pStyle w:val="20"/>
                    <w:ind w:firstLine="0"/>
                    <w:rPr>
                      <w:b/>
                    </w:rPr>
                  </w:pPr>
                  <w:r>
                    <w:rPr>
                      <w:rFonts w:hint="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96" w:type="dxa"/>
                  <w:vAlign w:val="center"/>
                </w:tcPr>
                <w:p>
                  <w:pPr>
                    <w:pStyle w:val="20"/>
                    <w:ind w:firstLine="0"/>
                    <w:rPr>
                      <w:b/>
                    </w:rPr>
                  </w:pPr>
                  <w:r>
                    <w:rPr>
                      <w:rFonts w:hint="eastAsia"/>
                      <w:b/>
                    </w:rPr>
                    <w:t>1</w:t>
                  </w:r>
                </w:p>
              </w:tc>
              <w:tc>
                <w:tcPr>
                  <w:tcW w:w="5616" w:type="dxa"/>
                  <w:vAlign w:val="center"/>
                </w:tcPr>
                <w:p>
                  <w:pPr>
                    <w:pStyle w:val="20"/>
                    <w:ind w:firstLine="0"/>
                    <w:rPr>
                      <w:b/>
                    </w:rPr>
                  </w:pPr>
                  <w:r>
                    <w:rPr>
                      <w:rFonts w:hint="eastAsia"/>
                      <w:b/>
                    </w:rPr>
                    <w:t>宝利通</w:t>
                  </w:r>
                </w:p>
              </w:tc>
              <w:tc>
                <w:tcPr>
                  <w:tcW w:w="2263" w:type="dxa"/>
                  <w:vAlign w:val="center"/>
                </w:tcPr>
                <w:p>
                  <w:pPr>
                    <w:pStyle w:val="20"/>
                    <w:ind w:firstLine="0"/>
                    <w:rPr>
                      <w:b/>
                    </w:rPr>
                  </w:pPr>
                  <w:r>
                    <w:rPr>
                      <w:rFonts w:hint="eastAsia"/>
                      <w:b/>
                    </w:rPr>
                    <w:t>HDX8000</w:t>
                  </w:r>
                </w:p>
              </w:tc>
              <w:tc>
                <w:tcPr>
                  <w:tcW w:w="696" w:type="dxa"/>
                  <w:vAlign w:val="center"/>
                </w:tcPr>
                <w:p>
                  <w:pPr>
                    <w:pStyle w:val="20"/>
                    <w:ind w:firstLine="0"/>
                    <w:rPr>
                      <w:b/>
                    </w:rPr>
                  </w:pPr>
                  <w:r>
                    <w:rPr>
                      <w:rFonts w:hint="eastAsia"/>
                      <w: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96" w:type="dxa"/>
                  <w:vAlign w:val="center"/>
                </w:tcPr>
                <w:p>
                  <w:pPr>
                    <w:pStyle w:val="20"/>
                    <w:ind w:firstLine="0"/>
                    <w:rPr>
                      <w:b/>
                    </w:rPr>
                  </w:pPr>
                  <w:r>
                    <w:rPr>
                      <w:rFonts w:hint="eastAsia"/>
                      <w:b/>
                    </w:rPr>
                    <w:t>2</w:t>
                  </w:r>
                </w:p>
              </w:tc>
              <w:tc>
                <w:tcPr>
                  <w:tcW w:w="5616" w:type="dxa"/>
                  <w:vAlign w:val="center"/>
                </w:tcPr>
                <w:p>
                  <w:pPr>
                    <w:pStyle w:val="20"/>
                    <w:ind w:firstLine="0"/>
                    <w:rPr>
                      <w:b/>
                    </w:rPr>
                  </w:pPr>
                  <w:r>
                    <w:rPr>
                      <w:rFonts w:hint="eastAsia"/>
                      <w:b/>
                    </w:rPr>
                    <w:t>华为</w:t>
                  </w:r>
                </w:p>
              </w:tc>
              <w:tc>
                <w:tcPr>
                  <w:tcW w:w="2263" w:type="dxa"/>
                  <w:vAlign w:val="center"/>
                </w:tcPr>
                <w:p>
                  <w:pPr>
                    <w:pStyle w:val="20"/>
                    <w:ind w:firstLine="0"/>
                    <w:rPr>
                      <w:b/>
                    </w:rPr>
                  </w:pPr>
                  <w:r>
                    <w:rPr>
                      <w:rFonts w:hint="eastAsia"/>
                      <w:b/>
                    </w:rPr>
                    <w:t>View 8036</w:t>
                  </w:r>
                </w:p>
              </w:tc>
              <w:tc>
                <w:tcPr>
                  <w:tcW w:w="696" w:type="dxa"/>
                  <w:vAlign w:val="center"/>
                </w:tcPr>
                <w:p>
                  <w:pPr>
                    <w:pStyle w:val="20"/>
                    <w:ind w:firstLine="0"/>
                    <w:rPr>
                      <w:b/>
                    </w:rPr>
                  </w:pPr>
                  <w:r>
                    <w:rPr>
                      <w:rFonts w:hint="eastAsia"/>
                      <w: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96" w:type="dxa"/>
                  <w:vAlign w:val="center"/>
                </w:tcPr>
                <w:p>
                  <w:pPr>
                    <w:pStyle w:val="20"/>
                    <w:ind w:firstLine="0"/>
                    <w:rPr>
                      <w:b/>
                    </w:rPr>
                  </w:pPr>
                  <w:r>
                    <w:rPr>
                      <w:rFonts w:hint="eastAsia"/>
                      <w:b/>
                    </w:rPr>
                    <w:t>3</w:t>
                  </w:r>
                </w:p>
              </w:tc>
              <w:tc>
                <w:tcPr>
                  <w:tcW w:w="5616" w:type="dxa"/>
                  <w:vAlign w:val="center"/>
                </w:tcPr>
                <w:p>
                  <w:pPr>
                    <w:pStyle w:val="20"/>
                    <w:ind w:firstLine="0"/>
                    <w:rPr>
                      <w:b/>
                    </w:rPr>
                  </w:pPr>
                  <w:r>
                    <w:rPr>
                      <w:rFonts w:hint="eastAsia"/>
                      <w:b/>
                    </w:rPr>
                    <w:t>海康威视</w:t>
                  </w:r>
                </w:p>
              </w:tc>
              <w:tc>
                <w:tcPr>
                  <w:tcW w:w="2263" w:type="dxa"/>
                  <w:vAlign w:val="center"/>
                </w:tcPr>
                <w:p>
                  <w:pPr>
                    <w:pStyle w:val="20"/>
                    <w:ind w:firstLine="0"/>
                    <w:rPr>
                      <w:b/>
                    </w:rPr>
                  </w:pPr>
                  <w:r>
                    <w:rPr>
                      <w:rFonts w:hint="eastAsia"/>
                      <w:b/>
                    </w:rPr>
                    <w:t>DS-6101HF-12V</w:t>
                  </w:r>
                </w:p>
              </w:tc>
              <w:tc>
                <w:tcPr>
                  <w:tcW w:w="696" w:type="dxa"/>
                  <w:vAlign w:val="center"/>
                </w:tcPr>
                <w:p>
                  <w:pPr>
                    <w:pStyle w:val="20"/>
                    <w:ind w:firstLine="0"/>
                    <w:rPr>
                      <w:b/>
                    </w:rPr>
                  </w:pPr>
                  <w:r>
                    <w:rPr>
                      <w:rFonts w:hint="eastAsia"/>
                      <w: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96" w:type="dxa"/>
                  <w:vAlign w:val="center"/>
                </w:tcPr>
                <w:p>
                  <w:pPr>
                    <w:pStyle w:val="20"/>
                    <w:ind w:firstLine="0"/>
                    <w:rPr>
                      <w:b/>
                    </w:rPr>
                  </w:pPr>
                  <w:r>
                    <w:rPr>
                      <w:rFonts w:hint="eastAsia"/>
                      <w:b/>
                    </w:rPr>
                    <w:t>4</w:t>
                  </w:r>
                </w:p>
              </w:tc>
              <w:tc>
                <w:tcPr>
                  <w:tcW w:w="5616" w:type="dxa"/>
                  <w:vAlign w:val="center"/>
                </w:tcPr>
                <w:p>
                  <w:pPr>
                    <w:pStyle w:val="20"/>
                    <w:ind w:firstLine="0"/>
                    <w:rPr>
                      <w:b/>
                    </w:rPr>
                  </w:pPr>
                  <w:r>
                    <w:rPr>
                      <w:rFonts w:hint="eastAsia"/>
                      <w:b/>
                    </w:rPr>
                    <w:t>华为</w:t>
                  </w:r>
                </w:p>
              </w:tc>
              <w:tc>
                <w:tcPr>
                  <w:tcW w:w="2263" w:type="dxa"/>
                  <w:vAlign w:val="center"/>
                </w:tcPr>
                <w:p>
                  <w:pPr>
                    <w:pStyle w:val="20"/>
                    <w:ind w:firstLine="0"/>
                    <w:rPr>
                      <w:b/>
                    </w:rPr>
                  </w:pPr>
                  <w:r>
                    <w:rPr>
                      <w:rFonts w:hint="eastAsia"/>
                      <w:b/>
                    </w:rPr>
                    <w:t>HUAWEI  TE30</w:t>
                  </w:r>
                </w:p>
              </w:tc>
              <w:tc>
                <w:tcPr>
                  <w:tcW w:w="696" w:type="dxa"/>
                  <w:vAlign w:val="center"/>
                </w:tcPr>
                <w:p>
                  <w:pPr>
                    <w:pStyle w:val="20"/>
                    <w:ind w:firstLine="0"/>
                    <w:rPr>
                      <w:b/>
                    </w:rPr>
                  </w:pPr>
                  <w:r>
                    <w:rPr>
                      <w:rFonts w:hint="eastAsia"/>
                      <w: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96" w:type="dxa"/>
                  <w:vAlign w:val="center"/>
                </w:tcPr>
                <w:p>
                  <w:pPr>
                    <w:pStyle w:val="20"/>
                    <w:ind w:firstLine="0"/>
                    <w:rPr>
                      <w:b/>
                    </w:rPr>
                  </w:pPr>
                  <w:r>
                    <w:rPr>
                      <w:rFonts w:hint="eastAsia"/>
                      <w:b/>
                    </w:rPr>
                    <w:t>5</w:t>
                  </w:r>
                </w:p>
              </w:tc>
              <w:tc>
                <w:tcPr>
                  <w:tcW w:w="5616" w:type="dxa"/>
                  <w:vAlign w:val="center"/>
                </w:tcPr>
                <w:p>
                  <w:pPr>
                    <w:pStyle w:val="20"/>
                    <w:ind w:firstLine="0"/>
                    <w:rPr>
                      <w:b/>
                    </w:rPr>
                  </w:pPr>
                  <w:r>
                    <w:rPr>
                      <w:rFonts w:hint="eastAsia"/>
                      <w:b/>
                    </w:rPr>
                    <w:t>华为</w:t>
                  </w:r>
                </w:p>
              </w:tc>
              <w:tc>
                <w:tcPr>
                  <w:tcW w:w="2263" w:type="dxa"/>
                  <w:vAlign w:val="center"/>
                </w:tcPr>
                <w:p>
                  <w:pPr>
                    <w:pStyle w:val="20"/>
                    <w:ind w:firstLine="0"/>
                    <w:rPr>
                      <w:b/>
                    </w:rPr>
                  </w:pPr>
                  <w:r>
                    <w:rPr>
                      <w:rFonts w:hint="eastAsia"/>
                      <w:b/>
                    </w:rPr>
                    <w:t xml:space="preserve">HUAWEI  </w:t>
                  </w:r>
                </w:p>
                <w:p>
                  <w:pPr>
                    <w:pStyle w:val="20"/>
                    <w:ind w:firstLine="0"/>
                    <w:rPr>
                      <w:b/>
                    </w:rPr>
                  </w:pPr>
                  <w:r>
                    <w:rPr>
                      <w:rFonts w:hint="eastAsia"/>
                      <w:b/>
                    </w:rPr>
                    <w:t>CloudLink Box300</w:t>
                  </w:r>
                </w:p>
              </w:tc>
              <w:tc>
                <w:tcPr>
                  <w:tcW w:w="696" w:type="dxa"/>
                  <w:vAlign w:val="center"/>
                </w:tcPr>
                <w:p>
                  <w:pPr>
                    <w:pStyle w:val="20"/>
                    <w:ind w:firstLine="0"/>
                    <w:rPr>
                      <w:b/>
                    </w:rPr>
                  </w:pPr>
                  <w:r>
                    <w:rPr>
                      <w:rFonts w:hint="eastAsia"/>
                      <w: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696" w:type="dxa"/>
                  <w:vAlign w:val="center"/>
                </w:tcPr>
                <w:p>
                  <w:pPr>
                    <w:pStyle w:val="20"/>
                    <w:ind w:firstLine="0"/>
                    <w:rPr>
                      <w:b/>
                    </w:rPr>
                  </w:pPr>
                  <w:r>
                    <w:rPr>
                      <w:rFonts w:hint="eastAsia"/>
                      <w:b/>
                    </w:rPr>
                    <w:t>6</w:t>
                  </w:r>
                </w:p>
              </w:tc>
              <w:tc>
                <w:tcPr>
                  <w:tcW w:w="5616" w:type="dxa"/>
                  <w:vAlign w:val="center"/>
                </w:tcPr>
                <w:p>
                  <w:pPr>
                    <w:pStyle w:val="20"/>
                    <w:ind w:firstLine="0"/>
                    <w:rPr>
                      <w:b/>
                    </w:rPr>
                  </w:pPr>
                  <w:r>
                    <w:rPr>
                      <w:rFonts w:hint="eastAsia"/>
                      <w:b/>
                    </w:rPr>
                    <w:t>腾讯会议系统（电脑、摄像头、麦克风）</w:t>
                  </w:r>
                </w:p>
              </w:tc>
              <w:tc>
                <w:tcPr>
                  <w:tcW w:w="2263" w:type="dxa"/>
                  <w:vAlign w:val="center"/>
                </w:tcPr>
                <w:p>
                  <w:pPr>
                    <w:pStyle w:val="20"/>
                    <w:ind w:firstLine="0"/>
                    <w:rPr>
                      <w:b/>
                    </w:rPr>
                  </w:pPr>
                  <w:r>
                    <w:rPr>
                      <w:rFonts w:hint="eastAsia"/>
                      <w:b/>
                    </w:rPr>
                    <w:t>HFMPBX83、PSE0600、PSE0500</w:t>
                  </w:r>
                </w:p>
              </w:tc>
              <w:tc>
                <w:tcPr>
                  <w:tcW w:w="696" w:type="dxa"/>
                  <w:vAlign w:val="center"/>
                </w:tcPr>
                <w:p>
                  <w:pPr>
                    <w:pStyle w:val="20"/>
                    <w:ind w:firstLine="0"/>
                    <w:rPr>
                      <w:b/>
                    </w:rPr>
                  </w:pPr>
                  <w:r>
                    <w:rPr>
                      <w:rFonts w:hint="eastAsia"/>
                      <w:b/>
                    </w:rPr>
                    <w:t>1套</w:t>
                  </w:r>
                </w:p>
              </w:tc>
            </w:tr>
          </w:tbl>
          <w:p>
            <w:pPr>
              <w:pStyle w:val="20"/>
              <w:ind w:firstLine="0"/>
              <w:rPr>
                <w:b/>
              </w:rPr>
            </w:pPr>
            <w:r>
              <w:rPr>
                <w:rFonts w:hint="eastAsia"/>
                <w:b/>
              </w:rPr>
              <w:t xml:space="preserve"> </w:t>
            </w:r>
          </w:p>
          <w:p>
            <w:pPr>
              <w:pStyle w:val="17"/>
              <w:spacing w:line="360" w:lineRule="auto"/>
              <w:rPr>
                <w:rFonts w:ascii="宋体" w:hAnsi="宋体"/>
                <w:kern w:val="0"/>
                <w:sz w:val="24"/>
                <w:szCs w:val="24"/>
              </w:rPr>
            </w:pPr>
            <w:r>
              <w:rPr>
                <w:rFonts w:hint="eastAsia" w:ascii="宋体" w:hAnsi="宋体"/>
                <w:kern w:val="0"/>
                <w:sz w:val="24"/>
                <w:szCs w:val="24"/>
              </w:rPr>
              <w:t>（1）服务范围</w:t>
            </w:r>
          </w:p>
          <w:p>
            <w:pPr>
              <w:pStyle w:val="17"/>
              <w:spacing w:line="360" w:lineRule="auto"/>
              <w:ind w:firstLine="720" w:firstLineChars="300"/>
              <w:rPr>
                <w:rFonts w:ascii="宋体" w:hAnsi="宋体"/>
                <w:kern w:val="0"/>
                <w:sz w:val="24"/>
                <w:szCs w:val="24"/>
              </w:rPr>
            </w:pPr>
            <w:r>
              <w:rPr>
                <w:rFonts w:hint="eastAsia" w:ascii="宋体" w:hAnsi="宋体"/>
                <w:sz w:val="24"/>
                <w:szCs w:val="24"/>
              </w:rPr>
              <w:t>主要包括省、市、国土规划系统的电视电话会议和视频会议、局内会议以及其他部门需要广州市规划和自然资源局花都区分局协助的会议签到及接待投影设备的搬运、安装、调试、维护及幻灯片的播放等，并对范围内所有会场会议设备进行统一资产管理和巡检服务，并建立高效、规范的运维服务体系，记录过程和提交阶段性报告。</w:t>
            </w:r>
            <w:r>
              <w:rPr>
                <w:rFonts w:hint="eastAsia" w:ascii="宋体" w:hAnsi="宋体"/>
                <w:kern w:val="0"/>
                <w:sz w:val="24"/>
                <w:szCs w:val="24"/>
              </w:rPr>
              <w:t>视频会议系统包括电视电话会议系统、市视频会议系统和区视频会议系统。</w:t>
            </w:r>
          </w:p>
          <w:p>
            <w:pPr>
              <w:pStyle w:val="17"/>
              <w:spacing w:line="360" w:lineRule="auto"/>
              <w:rPr>
                <w:rFonts w:ascii="宋体" w:hAnsi="宋体"/>
                <w:kern w:val="0"/>
                <w:sz w:val="24"/>
                <w:szCs w:val="24"/>
              </w:rPr>
            </w:pPr>
            <w:r>
              <w:rPr>
                <w:rFonts w:hint="eastAsia" w:ascii="宋体" w:hAnsi="宋体"/>
                <w:kern w:val="0"/>
                <w:sz w:val="24"/>
                <w:szCs w:val="24"/>
              </w:rPr>
              <w:t>（2）服务内容</w:t>
            </w:r>
          </w:p>
          <w:p>
            <w:pPr>
              <w:pStyle w:val="21"/>
              <w:numPr>
                <w:ilvl w:val="0"/>
                <w:numId w:val="4"/>
              </w:numPr>
              <w:spacing w:line="360" w:lineRule="auto"/>
              <w:rPr>
                <w:rFonts w:ascii="宋体" w:hAnsi="宋体"/>
                <w:sz w:val="24"/>
              </w:rPr>
            </w:pPr>
            <w:r>
              <w:rPr>
                <w:rFonts w:hint="eastAsia" w:ascii="宋体" w:hAnsi="宋体"/>
                <w:sz w:val="24"/>
              </w:rPr>
              <w:t>按照局办公室要求提前安装、调试好设备。</w:t>
            </w:r>
          </w:p>
          <w:p>
            <w:pPr>
              <w:pStyle w:val="21"/>
              <w:numPr>
                <w:ilvl w:val="0"/>
                <w:numId w:val="4"/>
              </w:numPr>
              <w:spacing w:line="360" w:lineRule="auto"/>
              <w:rPr>
                <w:rFonts w:ascii="宋体" w:hAnsi="宋体"/>
                <w:sz w:val="24"/>
              </w:rPr>
            </w:pPr>
            <w:r>
              <w:rPr>
                <w:rFonts w:hint="eastAsia" w:ascii="宋体" w:hAnsi="宋体"/>
                <w:sz w:val="24"/>
              </w:rPr>
              <w:t>由局办公室安排相关的会议、接待、活动，维护人员在指定地点对设备进行现场维护，保证设备的正常运行，并遵守相关的工作和保密方面的管理制度。维护人员需要具有良好的思想和职业道德，具有高度的工作责任感。</w:t>
            </w:r>
          </w:p>
          <w:p>
            <w:pPr>
              <w:pStyle w:val="21"/>
              <w:numPr>
                <w:ilvl w:val="0"/>
                <w:numId w:val="4"/>
              </w:numPr>
              <w:spacing w:line="360" w:lineRule="auto"/>
              <w:rPr>
                <w:rFonts w:ascii="宋体" w:hAnsi="宋体"/>
                <w:sz w:val="24"/>
              </w:rPr>
            </w:pPr>
            <w:r>
              <w:rPr>
                <w:rFonts w:ascii="宋体" w:hAnsi="宋体"/>
                <w:sz w:val="24"/>
              </w:rPr>
              <w:t>定期做好终端的清洁工作，防止出现积尘现象；每周上电检查一次，确认图像、声音正常；每月检查一次输入、输出接线端是否有松动、接触不良现象；每月检查一次输入、输出导线是否完好无损，如果有损坏应该及时更换。</w:t>
            </w:r>
          </w:p>
          <w:p>
            <w:pPr>
              <w:pStyle w:val="21"/>
              <w:numPr>
                <w:ilvl w:val="0"/>
                <w:numId w:val="4"/>
              </w:numPr>
              <w:spacing w:line="360" w:lineRule="auto"/>
              <w:rPr>
                <w:rFonts w:ascii="宋体" w:hAnsi="宋体"/>
                <w:sz w:val="24"/>
              </w:rPr>
            </w:pPr>
            <w:r>
              <w:rPr>
                <w:rFonts w:ascii="宋体" w:hAnsi="宋体"/>
                <w:sz w:val="24"/>
              </w:rPr>
              <w:t>保持会议室</w:t>
            </w:r>
            <w:r>
              <w:rPr>
                <w:rFonts w:hint="eastAsia" w:ascii="宋体" w:hAnsi="宋体"/>
                <w:sz w:val="24"/>
              </w:rPr>
              <w:t>设备</w:t>
            </w:r>
            <w:r>
              <w:rPr>
                <w:rFonts w:ascii="宋体" w:hAnsi="宋体"/>
                <w:sz w:val="24"/>
              </w:rPr>
              <w:t>清洁，注意防尘</w:t>
            </w:r>
          </w:p>
          <w:p>
            <w:pPr>
              <w:pStyle w:val="21"/>
              <w:spacing w:line="360" w:lineRule="auto"/>
              <w:rPr>
                <w:rFonts w:ascii="宋体" w:hAnsi="宋体"/>
                <w:sz w:val="24"/>
              </w:rPr>
            </w:pPr>
            <w:r>
              <w:rPr>
                <w:rFonts w:hint="eastAsia" w:ascii="宋体" w:hAnsi="宋体"/>
                <w:sz w:val="24"/>
              </w:rPr>
              <w:t>（3）</w:t>
            </w:r>
            <w:r>
              <w:rPr>
                <w:rFonts w:ascii="宋体" w:hAnsi="宋体"/>
                <w:sz w:val="24"/>
              </w:rPr>
              <w:t>测试维护工作</w:t>
            </w:r>
          </w:p>
          <w:p>
            <w:pPr>
              <w:pStyle w:val="21"/>
              <w:spacing w:line="360" w:lineRule="auto"/>
              <w:ind w:firstLine="480" w:firstLineChars="200"/>
              <w:rPr>
                <w:rFonts w:ascii="宋体" w:hAnsi="宋体"/>
                <w:sz w:val="24"/>
              </w:rPr>
            </w:pPr>
            <w:r>
              <w:rPr>
                <w:rFonts w:ascii="宋体" w:hAnsi="宋体"/>
                <w:sz w:val="24"/>
              </w:rPr>
              <w:t>如果设备长时间处于非会议状态（超过一个季度），在每周一次的上电检查的基础上，于会议的前3天，</w:t>
            </w:r>
            <w:r>
              <w:rPr>
                <w:rFonts w:hint="eastAsia" w:ascii="宋体" w:hAnsi="宋体"/>
                <w:sz w:val="24"/>
              </w:rPr>
              <w:t>做</w:t>
            </w:r>
            <w:r>
              <w:rPr>
                <w:rFonts w:ascii="宋体" w:hAnsi="宋体"/>
                <w:sz w:val="24"/>
              </w:rPr>
              <w:t>环回测试，检测之后不要急于断电，让设备连续工作3小时以上，确认图像稳定、声音清晰；如果设备经常使用，在会议开始前一天进行自环测试，并于会前两个小时进行联调检测。</w:t>
            </w:r>
          </w:p>
          <w:p>
            <w:pPr>
              <w:pStyle w:val="21"/>
              <w:spacing w:line="360" w:lineRule="auto"/>
              <w:rPr>
                <w:rFonts w:ascii="宋体" w:hAnsi="宋体"/>
                <w:sz w:val="24"/>
              </w:rPr>
            </w:pPr>
            <w:r>
              <w:rPr>
                <w:rFonts w:hint="eastAsia" w:ascii="宋体" w:hAnsi="宋体"/>
                <w:sz w:val="24"/>
              </w:rPr>
              <w:t>（4）</w:t>
            </w:r>
            <w:r>
              <w:rPr>
                <w:rFonts w:ascii="宋体" w:hAnsi="宋体"/>
                <w:sz w:val="24"/>
              </w:rPr>
              <w:t>保养维护</w:t>
            </w:r>
          </w:p>
          <w:p>
            <w:pPr>
              <w:pStyle w:val="21"/>
              <w:spacing w:line="360" w:lineRule="auto"/>
              <w:ind w:firstLine="480" w:firstLineChars="200"/>
              <w:rPr>
                <w:rFonts w:ascii="宋体" w:hAnsi="宋体"/>
                <w:sz w:val="24"/>
              </w:rPr>
            </w:pPr>
            <w:r>
              <w:rPr>
                <w:rFonts w:ascii="宋体" w:hAnsi="宋体"/>
                <w:sz w:val="24"/>
              </w:rPr>
              <w:t>定期对会议室环境的例行检查和对终端功能的例行检查，要求最迟在会议召开前2小时-3小时进行。</w:t>
            </w:r>
            <w:r>
              <w:rPr>
                <w:rFonts w:hint="eastAsia" w:ascii="宋体" w:hAnsi="宋体"/>
                <w:sz w:val="24"/>
              </w:rPr>
              <w:t>提供设备维护、维修记录和报告。</w:t>
            </w:r>
          </w:p>
          <w:p>
            <w:pPr>
              <w:pStyle w:val="21"/>
              <w:spacing w:line="360" w:lineRule="auto"/>
              <w:rPr>
                <w:rFonts w:ascii="宋体" w:hAnsi="宋体"/>
                <w:sz w:val="24"/>
              </w:rPr>
            </w:pPr>
            <w:r>
              <w:rPr>
                <w:rFonts w:hint="eastAsia" w:ascii="宋体" w:hAnsi="宋体"/>
                <w:sz w:val="24"/>
              </w:rPr>
              <w:t>（5）会议保障</w:t>
            </w:r>
          </w:p>
          <w:p>
            <w:pPr>
              <w:pStyle w:val="21"/>
              <w:spacing w:line="360" w:lineRule="auto"/>
              <w:ind w:firstLine="480" w:firstLineChars="200"/>
              <w:rPr>
                <w:rFonts w:ascii="宋体" w:hAnsi="宋体"/>
                <w:sz w:val="24"/>
              </w:rPr>
            </w:pPr>
            <w:r>
              <w:rPr>
                <w:rFonts w:hint="eastAsia" w:ascii="宋体" w:hAnsi="宋体"/>
                <w:sz w:val="24"/>
              </w:rPr>
              <w:t>为保证广州市规划和自然资源局花都区分局视频会议的顺利召开，制定《广州市规划和自然资源局花都区分局视频会议保障及应急措施》，提供视频会议设备的常见故障及解决方法，指导视频会议技术保障人员进行应急处理工作。</w:t>
            </w:r>
          </w:p>
          <w:p>
            <w:pPr>
              <w:pStyle w:val="21"/>
              <w:spacing w:line="360" w:lineRule="auto"/>
              <w:rPr>
                <w:rFonts w:ascii="宋体" w:hAnsi="宋体"/>
                <w:sz w:val="24"/>
              </w:rPr>
            </w:pPr>
            <w:r>
              <w:rPr>
                <w:rFonts w:hint="eastAsia" w:ascii="宋体" w:hAnsi="宋体"/>
                <w:sz w:val="24"/>
              </w:rPr>
              <w:t>（6）视频会议设备维修服务</w:t>
            </w:r>
          </w:p>
          <w:p>
            <w:pPr>
              <w:pStyle w:val="21"/>
              <w:spacing w:line="360" w:lineRule="auto"/>
              <w:ind w:firstLine="480" w:firstLineChars="200"/>
              <w:rPr>
                <w:rFonts w:ascii="宋体" w:hAnsi="宋体"/>
                <w:sz w:val="24"/>
              </w:rPr>
            </w:pPr>
            <w:r>
              <w:rPr>
                <w:rFonts w:hint="eastAsia" w:ascii="宋体" w:hAnsi="宋体"/>
                <w:sz w:val="24"/>
              </w:rPr>
              <w:t>系统故障诊断及检修：当系统出现问题时，及时对问题进行诊断、分析，并解决问题。如果是紧急故障，导致系统无法工作，业务停止运行的情况下，且现场维护人员（一线工程师）无法解决时，要求二线技术人员到故障现场处理故障。当设备或系统出现故障时，及时进行检查、免费维修或更换故障部件。</w:t>
            </w:r>
          </w:p>
          <w:p>
            <w:pPr>
              <w:pStyle w:val="3"/>
              <w:ind w:left="0" w:firstLine="480" w:firstLineChars="200"/>
              <w:rPr>
                <w:rFonts w:ascii="微软雅黑" w:hAnsi="微软雅黑" w:eastAsia="微软雅黑" w:cs="仿宋_GB2312"/>
                <w:b/>
                <w:szCs w:val="24"/>
              </w:rPr>
            </w:pPr>
            <w:r>
              <w:rPr>
                <w:rFonts w:hint="eastAsia" w:ascii="微软雅黑" w:hAnsi="微软雅黑" w:eastAsia="微软雅黑" w:cs="仿宋_GB2312"/>
                <w:b/>
                <w:szCs w:val="24"/>
              </w:rPr>
              <w:t>3. 桌面及终端设备</w:t>
            </w:r>
          </w:p>
          <w:p>
            <w:pPr>
              <w:spacing w:line="360" w:lineRule="auto"/>
              <w:ind w:firstLine="560"/>
              <w:rPr>
                <w:rFonts w:ascii="微软雅黑" w:hAnsi="微软雅黑" w:eastAsia="微软雅黑" w:cs="仿宋_GB2312"/>
                <w:sz w:val="24"/>
              </w:rPr>
            </w:pPr>
            <w:r>
              <w:rPr>
                <w:rFonts w:hint="eastAsia" w:ascii="宋体" w:hAnsi="宋体"/>
                <w:sz w:val="24"/>
              </w:rPr>
              <w:t>1、现状</w:t>
            </w:r>
            <w:r>
              <w:rPr>
                <w:rFonts w:hint="eastAsia" w:ascii="微软雅黑" w:hAnsi="微软雅黑" w:eastAsia="微软雅黑" w:cs="仿宋_GB2312"/>
                <w:sz w:val="24"/>
              </w:rPr>
              <w:t xml:space="preserve"> </w:t>
            </w:r>
          </w:p>
          <w:p>
            <w:pPr>
              <w:spacing w:line="360" w:lineRule="auto"/>
              <w:ind w:firstLine="360" w:firstLineChars="150"/>
              <w:jc w:val="left"/>
              <w:rPr>
                <w:rFonts w:ascii="微软雅黑" w:hAnsi="微软雅黑" w:eastAsia="微软雅黑" w:cs="仿宋_GB2312"/>
                <w:color w:val="FF0000"/>
                <w:sz w:val="24"/>
              </w:rPr>
            </w:pPr>
            <w:r>
              <w:rPr>
                <w:rFonts w:hint="eastAsia" w:ascii="微软雅黑" w:hAnsi="微软雅黑" w:eastAsia="微软雅黑" w:cs="仿宋_GB2312"/>
                <w:sz w:val="24"/>
              </w:rPr>
              <w:t>（1）市规划和自然资源局花都区分局正常使用的电子设备情况：台式电脑</w:t>
            </w:r>
            <w:r>
              <w:rPr>
                <w:rFonts w:hint="eastAsia" w:ascii="微软雅黑" w:hAnsi="微软雅黑" w:eastAsia="微软雅黑" w:cs="仿宋_GB2312"/>
                <w:sz w:val="24"/>
                <w:lang w:val="en-US" w:eastAsia="zh-CN"/>
              </w:rPr>
              <w:t>451</w:t>
            </w:r>
            <w:r>
              <w:rPr>
                <w:rFonts w:hint="eastAsia" w:ascii="微软雅黑" w:hAnsi="微软雅黑" w:eastAsia="微软雅黑" w:cs="仿宋_GB2312"/>
                <w:sz w:val="24"/>
              </w:rPr>
              <w:t>台（含各</w:t>
            </w:r>
            <w:r>
              <w:rPr>
                <w:rFonts w:hint="eastAsia" w:ascii="微软雅黑" w:hAnsi="微软雅黑" w:eastAsia="微软雅黑" w:cs="仿宋_GB2312"/>
                <w:sz w:val="24"/>
                <w:lang w:val="en-US" w:eastAsia="zh-CN"/>
              </w:rPr>
              <w:t>规划和自然资源</w:t>
            </w:r>
            <w:r>
              <w:rPr>
                <w:rFonts w:hint="eastAsia" w:ascii="微软雅黑" w:hAnsi="微软雅黑" w:eastAsia="微软雅黑" w:cs="仿宋_GB2312"/>
                <w:sz w:val="24"/>
              </w:rPr>
              <w:t>所），打印机263台，笔记本</w:t>
            </w:r>
            <w:r>
              <w:rPr>
                <w:rFonts w:hint="eastAsia" w:ascii="微软雅黑" w:hAnsi="微软雅黑" w:eastAsia="微软雅黑" w:cs="仿宋_GB2312"/>
                <w:sz w:val="24"/>
                <w:lang w:val="en-US" w:eastAsia="zh-CN"/>
              </w:rPr>
              <w:t>40</w:t>
            </w:r>
            <w:r>
              <w:rPr>
                <w:rFonts w:hint="eastAsia" w:ascii="微软雅黑" w:hAnsi="微软雅黑" w:eastAsia="微软雅黑" w:cs="仿宋_GB2312"/>
                <w:sz w:val="24"/>
              </w:rPr>
              <w:t>台，移动平板127台，投影仪16台，复印机2</w:t>
            </w:r>
            <w:r>
              <w:rPr>
                <w:rFonts w:hint="eastAsia" w:ascii="微软雅黑" w:hAnsi="微软雅黑" w:eastAsia="微软雅黑" w:cs="仿宋_GB2312"/>
                <w:sz w:val="24"/>
                <w:lang w:val="en-US" w:eastAsia="zh-CN"/>
              </w:rPr>
              <w:t>4</w:t>
            </w:r>
            <w:r>
              <w:rPr>
                <w:rFonts w:hint="eastAsia" w:ascii="微软雅黑" w:hAnsi="微软雅黑" w:eastAsia="微软雅黑" w:cs="仿宋_GB2312"/>
                <w:sz w:val="24"/>
              </w:rPr>
              <w:t>台，碎纸机</w:t>
            </w:r>
            <w:r>
              <w:rPr>
                <w:rFonts w:hint="eastAsia" w:ascii="微软雅黑" w:hAnsi="微软雅黑" w:eastAsia="微软雅黑" w:cs="仿宋_GB2312"/>
                <w:sz w:val="24"/>
                <w:lang w:val="en-US" w:eastAsia="zh-CN"/>
              </w:rPr>
              <w:t>39</w:t>
            </w:r>
            <w:r>
              <w:rPr>
                <w:rFonts w:hint="eastAsia" w:ascii="微软雅黑" w:hAnsi="微软雅黑" w:eastAsia="微软雅黑" w:cs="仿宋_GB2312"/>
                <w:sz w:val="24"/>
              </w:rPr>
              <w:t>台，数码相机及摄像机78台，以及其他未说明的电子办公设备。（设备总量变化在20%左右，不得增加费用）</w:t>
            </w:r>
          </w:p>
          <w:p>
            <w:pPr>
              <w:spacing w:line="360" w:lineRule="auto"/>
              <w:ind w:firstLine="560"/>
              <w:rPr>
                <w:rFonts w:ascii="微软雅黑" w:hAnsi="微软雅黑" w:eastAsia="微软雅黑" w:cs="仿宋_GB2312"/>
                <w:sz w:val="24"/>
              </w:rPr>
            </w:pPr>
            <w:r>
              <w:rPr>
                <w:rFonts w:hint="eastAsia" w:ascii="微软雅黑" w:hAnsi="微软雅黑" w:eastAsia="微软雅黑" w:cs="仿宋_GB2312"/>
                <w:sz w:val="24"/>
              </w:rPr>
              <w:t>维护内容：对上述产品进行维护，维护要求如下：</w:t>
            </w:r>
          </w:p>
          <w:p>
            <w:pPr>
              <w:spacing w:line="360" w:lineRule="auto"/>
              <w:ind w:firstLine="480" w:firstLineChars="200"/>
              <w:jc w:val="left"/>
              <w:rPr>
                <w:rFonts w:ascii="宋体" w:hAnsi="宋体"/>
                <w:sz w:val="24"/>
              </w:rPr>
            </w:pPr>
            <w:r>
              <w:rPr>
                <w:rFonts w:hint="eastAsia" w:ascii="宋体" w:hAnsi="宋体"/>
                <w:sz w:val="24"/>
              </w:rPr>
              <w:t>2、内容</w:t>
            </w:r>
          </w:p>
          <w:p>
            <w:pPr>
              <w:spacing w:line="360" w:lineRule="auto"/>
              <w:ind w:firstLine="480" w:firstLineChars="200"/>
              <w:jc w:val="left"/>
              <w:rPr>
                <w:rFonts w:ascii="宋体" w:hAnsi="宋体"/>
                <w:sz w:val="24"/>
              </w:rPr>
            </w:pPr>
            <w:r>
              <w:rPr>
                <w:rFonts w:hint="eastAsia" w:ascii="宋体" w:hAnsi="宋体"/>
                <w:sz w:val="24"/>
              </w:rPr>
              <w:t>(1)硬件维护所有指定维护范围内的计算机及其外设的搬运、安装、调试、组装与移位等。</w:t>
            </w:r>
          </w:p>
          <w:p>
            <w:pPr>
              <w:spacing w:line="360" w:lineRule="auto"/>
              <w:ind w:firstLine="480" w:firstLineChars="200"/>
              <w:jc w:val="left"/>
              <w:rPr>
                <w:rFonts w:ascii="宋体" w:hAnsi="宋体"/>
                <w:sz w:val="24"/>
              </w:rPr>
            </w:pPr>
            <w:r>
              <w:rPr>
                <w:rFonts w:hint="eastAsia" w:ascii="宋体" w:hAnsi="宋体"/>
                <w:sz w:val="24"/>
              </w:rPr>
              <w:t>(2)系统安装：电脑操作系统的安装、调试及升级；外设（打印机、扫描仪等设备）的相关驱动程序及软件的安装调试；经用户授权进行应用软件安装、升级并排除软件使用过程中的故障；解决软件冲突造成的系统故障；计算机标配的软件备份，包括随机恢复光盘，附带赠送软件、驱动程序等；负责清除计算机电脑病毒；计算机外设的软件备份和管理。包括操作系统、办公软件、防病毒软件、打印机驱动及其它应用软件的安装、卸载与修复。</w:t>
            </w:r>
          </w:p>
          <w:p>
            <w:pPr>
              <w:spacing w:line="360" w:lineRule="auto"/>
              <w:ind w:firstLine="480" w:firstLineChars="200"/>
              <w:jc w:val="left"/>
              <w:rPr>
                <w:rFonts w:ascii="宋体" w:hAnsi="宋体"/>
                <w:sz w:val="24"/>
              </w:rPr>
            </w:pPr>
            <w:r>
              <w:rPr>
                <w:rFonts w:hint="eastAsia" w:ascii="宋体" w:hAnsi="宋体"/>
                <w:sz w:val="24"/>
              </w:rPr>
              <w:t>(3)系统状态维护及优化：保持计算机系统处于经优化的良好运行状态，并能正常连接办公网络，避免系统受病毒及其它不良代码影响而导致影响办公。</w:t>
            </w:r>
          </w:p>
          <w:p>
            <w:pPr>
              <w:spacing w:line="360" w:lineRule="auto"/>
              <w:ind w:firstLine="480" w:firstLineChars="200"/>
              <w:jc w:val="left"/>
              <w:rPr>
                <w:rFonts w:ascii="宋体" w:hAnsi="宋体"/>
                <w:sz w:val="24"/>
              </w:rPr>
            </w:pPr>
            <w:r>
              <w:rPr>
                <w:rFonts w:hint="eastAsia" w:ascii="宋体" w:hAnsi="宋体"/>
                <w:sz w:val="24"/>
              </w:rPr>
              <w:t>(4)故障检测与修复：包括软件故障检测与修复，硬件故障检测。</w:t>
            </w:r>
          </w:p>
          <w:p>
            <w:pPr>
              <w:spacing w:line="360" w:lineRule="auto"/>
              <w:ind w:firstLine="480" w:firstLineChars="200"/>
              <w:jc w:val="left"/>
              <w:rPr>
                <w:rFonts w:ascii="宋体" w:hAnsi="宋体"/>
                <w:sz w:val="24"/>
              </w:rPr>
            </w:pPr>
            <w:r>
              <w:rPr>
                <w:rFonts w:hint="eastAsia" w:ascii="宋体" w:hAnsi="宋体"/>
                <w:sz w:val="24"/>
              </w:rPr>
              <w:t>配件的更换、维修由服务公司与市规划和自然资源局花都区分局自行协商解决。</w:t>
            </w:r>
          </w:p>
          <w:p>
            <w:pPr>
              <w:spacing w:line="360" w:lineRule="auto"/>
              <w:ind w:firstLine="480" w:firstLineChars="200"/>
              <w:jc w:val="left"/>
              <w:rPr>
                <w:rFonts w:ascii="宋体" w:hAnsi="宋体"/>
                <w:sz w:val="24"/>
              </w:rPr>
            </w:pPr>
            <w:r>
              <w:rPr>
                <w:rFonts w:hint="eastAsia" w:ascii="宋体" w:hAnsi="宋体"/>
                <w:sz w:val="24"/>
              </w:rPr>
              <w:t>(5)打印机的定期清洗和保养。</w:t>
            </w:r>
          </w:p>
          <w:p>
            <w:pPr>
              <w:spacing w:line="360" w:lineRule="auto"/>
              <w:ind w:firstLine="480" w:firstLineChars="200"/>
              <w:jc w:val="left"/>
              <w:rPr>
                <w:rFonts w:ascii="宋体" w:hAnsi="宋体"/>
                <w:sz w:val="24"/>
              </w:rPr>
            </w:pPr>
            <w:r>
              <w:rPr>
                <w:rFonts w:hint="eastAsia" w:ascii="宋体" w:hAnsi="宋体"/>
                <w:sz w:val="24"/>
              </w:rPr>
              <w:t>(6)会议投影设备：主要包括市规划和自然资源局花都区分局内重大会议以及其他部门需要市规划和自然资源局花都区分局协助的会议中，投影设备的搬运、安装、调试、维护。</w:t>
            </w:r>
          </w:p>
          <w:p>
            <w:pPr>
              <w:spacing w:line="360" w:lineRule="auto"/>
              <w:ind w:firstLine="480" w:firstLineChars="200"/>
              <w:jc w:val="left"/>
              <w:rPr>
                <w:rFonts w:ascii="宋体" w:hAnsi="宋体"/>
                <w:sz w:val="24"/>
              </w:rPr>
            </w:pPr>
            <w:r>
              <w:rPr>
                <w:rFonts w:hint="eastAsia" w:ascii="宋体" w:hAnsi="宋体"/>
                <w:sz w:val="24"/>
              </w:rPr>
              <w:t>(7)巡检：维护方应每季度为用户方软硬件设备作一次巡检，主动维护好计算机及外设设备，检查硬件实际配置是否和设备登记表相符，保障用户正常办公。在巡检过程中，要根据市规划和自然资源局花都区分局办公室要求做好有关工作。</w:t>
            </w:r>
          </w:p>
          <w:p>
            <w:pPr>
              <w:spacing w:line="360" w:lineRule="auto"/>
              <w:ind w:firstLine="480" w:firstLineChars="200"/>
              <w:jc w:val="left"/>
              <w:rPr>
                <w:rFonts w:ascii="宋体" w:hAnsi="宋体"/>
                <w:sz w:val="24"/>
              </w:rPr>
            </w:pPr>
            <w:r>
              <w:rPr>
                <w:rFonts w:hint="eastAsia" w:ascii="宋体" w:hAnsi="宋体"/>
                <w:sz w:val="24"/>
              </w:rPr>
              <w:t>(8)培训：对单位信息人员非定期地作相关维护知识培训。</w:t>
            </w:r>
          </w:p>
          <w:p>
            <w:pPr>
              <w:spacing w:line="360" w:lineRule="auto"/>
              <w:ind w:firstLine="480" w:firstLineChars="200"/>
              <w:jc w:val="left"/>
              <w:rPr>
                <w:rFonts w:ascii="宋体" w:hAnsi="宋体"/>
                <w:sz w:val="24"/>
              </w:rPr>
            </w:pPr>
            <w:r>
              <w:rPr>
                <w:rFonts w:hint="eastAsia" w:ascii="宋体" w:hAnsi="宋体"/>
                <w:sz w:val="24"/>
              </w:rPr>
              <w:t>3、要求</w:t>
            </w:r>
          </w:p>
          <w:p>
            <w:pPr>
              <w:spacing w:line="360" w:lineRule="auto"/>
              <w:ind w:firstLine="480" w:firstLineChars="200"/>
              <w:jc w:val="left"/>
              <w:rPr>
                <w:rFonts w:ascii="宋体" w:hAnsi="宋体"/>
                <w:sz w:val="24"/>
              </w:rPr>
            </w:pPr>
            <w:r>
              <w:rPr>
                <w:rFonts w:hint="eastAsia" w:ascii="宋体" w:hAnsi="宋体"/>
                <w:sz w:val="24"/>
              </w:rPr>
              <w:t>(1)工程师到达时间要求：分以下五种情况：</w:t>
            </w:r>
          </w:p>
          <w:p>
            <w:pPr>
              <w:spacing w:line="360" w:lineRule="auto"/>
              <w:ind w:firstLine="480" w:firstLineChars="200"/>
              <w:jc w:val="left"/>
              <w:rPr>
                <w:rFonts w:ascii="宋体" w:hAnsi="宋体"/>
                <w:sz w:val="24"/>
              </w:rPr>
            </w:pPr>
            <w:r>
              <w:rPr>
                <w:rFonts w:hint="eastAsia" w:ascii="宋体" w:hAnsi="宋体"/>
                <w:sz w:val="24"/>
              </w:rPr>
              <w:t>局领导：在接到服务要求后，5分钟内应达现场并经领导同意后方可排障，原则上半小时内解决并完成服务需求。服务时要尊重领导、有礼貌，注重细节，严禁移动领导办公桌面的物品及翻阅、查看领导桌面及电脑的任何资料。服务完后要迅速离开领导办公室。</w:t>
            </w:r>
          </w:p>
          <w:p>
            <w:pPr>
              <w:spacing w:line="360" w:lineRule="auto"/>
              <w:ind w:firstLine="480" w:firstLineChars="200"/>
              <w:jc w:val="left"/>
              <w:rPr>
                <w:rFonts w:ascii="宋体" w:hAnsi="宋体"/>
                <w:sz w:val="24"/>
              </w:rPr>
            </w:pPr>
            <w:r>
              <w:rPr>
                <w:rFonts w:hint="eastAsia" w:ascii="宋体" w:hAnsi="宋体"/>
                <w:sz w:val="24"/>
              </w:rPr>
              <w:t>普通工作人员：在接到服务要求后，10分钟内到达现场，原则上1小时内解决并完成服务需求。紧急、特殊的服务要求应立即提供服务至解决问题为止。</w:t>
            </w:r>
          </w:p>
          <w:p>
            <w:pPr>
              <w:spacing w:line="360" w:lineRule="auto"/>
              <w:ind w:firstLine="480" w:firstLineChars="200"/>
              <w:jc w:val="left"/>
              <w:rPr>
                <w:rFonts w:ascii="宋体" w:hAnsi="宋体"/>
                <w:sz w:val="24"/>
              </w:rPr>
            </w:pPr>
            <w:r>
              <w:rPr>
                <w:rFonts w:hint="eastAsia" w:ascii="宋体" w:hAnsi="宋体"/>
                <w:sz w:val="24"/>
              </w:rPr>
              <w:t>政务中心窗口：政务中心提供的设备和系统原则上由政务中心驻场的运维人员进行保障，如涉及我局业务系统及我局硬件设备故障需要维修更换的情况，120分钟内到达现场进行服务。</w:t>
            </w:r>
          </w:p>
          <w:p>
            <w:pPr>
              <w:spacing w:line="360" w:lineRule="auto"/>
              <w:ind w:firstLine="480" w:firstLineChars="200"/>
              <w:jc w:val="left"/>
              <w:rPr>
                <w:rFonts w:ascii="宋体" w:hAnsi="宋体"/>
                <w:sz w:val="24"/>
              </w:rPr>
            </w:pPr>
            <w:r>
              <w:rPr>
                <w:rFonts w:hint="eastAsia" w:ascii="宋体" w:hAnsi="宋体"/>
                <w:sz w:val="24"/>
              </w:rPr>
              <w:t>各镇街规划和自然资源所：在接到服务要求后，若是软件方面的，在电脑能正常联网的情况下通过远程协助处理：小件硬件如电脑、打印机送到局内统一服务，大件硬件120分钟内到达现场进行服务。</w:t>
            </w:r>
          </w:p>
          <w:p>
            <w:pPr>
              <w:spacing w:line="360" w:lineRule="auto"/>
              <w:ind w:firstLine="480" w:firstLineChars="200"/>
              <w:jc w:val="left"/>
              <w:rPr>
                <w:rFonts w:ascii="宋体" w:hAnsi="宋体"/>
                <w:sz w:val="24"/>
              </w:rPr>
            </w:pPr>
            <w:r>
              <w:rPr>
                <w:rFonts w:hint="eastAsia" w:ascii="宋体" w:hAnsi="宋体"/>
                <w:sz w:val="24"/>
              </w:rPr>
              <w:t>会议：按照采购人要求提前安装、调试好设备，布置好会场。</w:t>
            </w:r>
          </w:p>
          <w:p>
            <w:pPr>
              <w:spacing w:line="360" w:lineRule="auto"/>
              <w:ind w:firstLine="480" w:firstLineChars="200"/>
              <w:jc w:val="left"/>
              <w:rPr>
                <w:rFonts w:ascii="宋体" w:hAnsi="宋体"/>
                <w:sz w:val="24"/>
              </w:rPr>
            </w:pPr>
            <w:r>
              <w:rPr>
                <w:rFonts w:hint="eastAsia" w:ascii="宋体" w:hAnsi="宋体"/>
                <w:sz w:val="24"/>
              </w:rPr>
              <w:t>(2)质量要求：</w:t>
            </w:r>
          </w:p>
          <w:p>
            <w:pPr>
              <w:spacing w:line="360" w:lineRule="auto"/>
              <w:ind w:firstLine="480" w:firstLineChars="200"/>
              <w:jc w:val="left"/>
              <w:rPr>
                <w:rFonts w:ascii="宋体" w:hAnsi="宋体"/>
                <w:sz w:val="24"/>
              </w:rPr>
            </w:pPr>
            <w:r>
              <w:rPr>
                <w:rFonts w:hint="eastAsia" w:ascii="宋体" w:hAnsi="宋体"/>
                <w:sz w:val="24"/>
              </w:rPr>
              <w:t>要求在10分钟内准确诊断并告知用户故障原因，诊断差错率要控制在5%以内。并向最终用户解释故障发生原因，可能导致的后果，以及拟采取的措施。故障修复过程中可能影响用户工作或对系统应用数据有影响的，要先咨询用户意见再处理。</w:t>
            </w:r>
          </w:p>
          <w:p>
            <w:pPr>
              <w:spacing w:line="360" w:lineRule="auto"/>
              <w:ind w:firstLine="480" w:firstLineChars="200"/>
              <w:jc w:val="left"/>
              <w:rPr>
                <w:rFonts w:ascii="宋体" w:hAnsi="宋体"/>
                <w:sz w:val="24"/>
              </w:rPr>
            </w:pPr>
            <w:r>
              <w:rPr>
                <w:rFonts w:hint="eastAsia" w:ascii="宋体" w:hAnsi="宋体"/>
                <w:sz w:val="24"/>
              </w:rPr>
              <w:t>对于软件故障，应达到以下要求：</w:t>
            </w:r>
          </w:p>
          <w:p>
            <w:pPr>
              <w:numPr>
                <w:ilvl w:val="0"/>
                <w:numId w:val="5"/>
              </w:numPr>
              <w:spacing w:line="360" w:lineRule="auto"/>
              <w:ind w:firstLine="480" w:firstLineChars="200"/>
              <w:jc w:val="left"/>
              <w:rPr>
                <w:rFonts w:ascii="宋体" w:hAnsi="宋体"/>
                <w:sz w:val="24"/>
              </w:rPr>
            </w:pPr>
            <w:r>
              <w:rPr>
                <w:rFonts w:hint="eastAsia" w:ascii="宋体" w:hAnsi="宋体"/>
                <w:sz w:val="24"/>
              </w:rPr>
              <w:t>保证用户数据的安全。</w:t>
            </w:r>
          </w:p>
          <w:p>
            <w:pPr>
              <w:numPr>
                <w:ilvl w:val="0"/>
                <w:numId w:val="5"/>
              </w:numPr>
              <w:spacing w:line="360" w:lineRule="auto"/>
              <w:ind w:firstLine="480" w:firstLineChars="200"/>
              <w:jc w:val="left"/>
              <w:rPr>
                <w:rFonts w:ascii="宋体" w:hAnsi="宋体"/>
                <w:sz w:val="24"/>
              </w:rPr>
            </w:pPr>
            <w:r>
              <w:rPr>
                <w:rFonts w:hint="eastAsia" w:ascii="宋体" w:hAnsi="宋体"/>
                <w:sz w:val="24"/>
              </w:rPr>
              <w:t>软件故障修改后系统至少保持2周不出现同样故障。</w:t>
            </w:r>
          </w:p>
          <w:p>
            <w:pPr>
              <w:numPr>
                <w:ilvl w:val="0"/>
                <w:numId w:val="5"/>
              </w:numPr>
              <w:spacing w:line="360" w:lineRule="auto"/>
              <w:ind w:firstLine="480" w:firstLineChars="200"/>
              <w:jc w:val="left"/>
              <w:rPr>
                <w:rFonts w:ascii="宋体" w:hAnsi="宋体"/>
                <w:sz w:val="24"/>
              </w:rPr>
            </w:pPr>
            <w:r>
              <w:rPr>
                <w:rFonts w:hint="eastAsia" w:ascii="宋体" w:hAnsi="宋体"/>
                <w:sz w:val="24"/>
              </w:rPr>
              <w:t>系统尽可能恢复至故障前使用时最优状态。</w:t>
            </w:r>
          </w:p>
          <w:p>
            <w:pPr>
              <w:spacing w:line="360" w:lineRule="auto"/>
              <w:ind w:firstLine="480" w:firstLineChars="200"/>
              <w:jc w:val="left"/>
              <w:rPr>
                <w:rFonts w:ascii="宋体" w:hAnsi="宋体"/>
                <w:sz w:val="24"/>
              </w:rPr>
            </w:pPr>
            <w:r>
              <w:rPr>
                <w:rFonts w:hint="eastAsia" w:ascii="宋体" w:hAnsi="宋体"/>
                <w:sz w:val="24"/>
              </w:rPr>
              <w:t>对于硬件故障，应达到以下要求：</w:t>
            </w:r>
          </w:p>
          <w:p>
            <w:pPr>
              <w:numPr>
                <w:ilvl w:val="0"/>
                <w:numId w:val="5"/>
              </w:numPr>
              <w:spacing w:line="360" w:lineRule="auto"/>
              <w:ind w:firstLine="480" w:firstLineChars="200"/>
              <w:jc w:val="left"/>
              <w:rPr>
                <w:rFonts w:ascii="宋体" w:hAnsi="宋体"/>
                <w:sz w:val="24"/>
              </w:rPr>
            </w:pPr>
            <w:r>
              <w:rPr>
                <w:rFonts w:hint="eastAsia" w:ascii="宋体" w:hAnsi="宋体"/>
                <w:sz w:val="24"/>
              </w:rPr>
              <w:t>非更换硬件的故障修复至少保持1月不出现同样故障。</w:t>
            </w:r>
          </w:p>
          <w:p>
            <w:pPr>
              <w:numPr>
                <w:ilvl w:val="0"/>
                <w:numId w:val="5"/>
              </w:numPr>
              <w:spacing w:line="360" w:lineRule="auto"/>
              <w:ind w:firstLine="480" w:firstLineChars="200"/>
              <w:jc w:val="left"/>
              <w:rPr>
                <w:rFonts w:ascii="宋体" w:hAnsi="宋体"/>
                <w:sz w:val="24"/>
              </w:rPr>
            </w:pPr>
            <w:r>
              <w:rPr>
                <w:rFonts w:hint="eastAsia" w:ascii="宋体" w:hAnsi="宋体"/>
                <w:sz w:val="24"/>
              </w:rPr>
              <w:t>如要更换硬件或移机维修的，须向最终用户解释，并明确维护所需的时间及费用，在征得用户同意后才操作。</w:t>
            </w:r>
          </w:p>
          <w:p>
            <w:pPr>
              <w:numPr>
                <w:ilvl w:val="0"/>
                <w:numId w:val="5"/>
              </w:numPr>
              <w:spacing w:line="360" w:lineRule="auto"/>
              <w:ind w:firstLine="480" w:firstLineChars="200"/>
              <w:jc w:val="left"/>
              <w:rPr>
                <w:rFonts w:ascii="宋体" w:hAnsi="宋体"/>
                <w:sz w:val="24"/>
              </w:rPr>
            </w:pPr>
            <w:r>
              <w:rPr>
                <w:rFonts w:hint="eastAsia" w:ascii="宋体" w:hAnsi="宋体"/>
                <w:sz w:val="24"/>
              </w:rPr>
              <w:t>对于维修时间较长的故障，应达到以下要求：</w:t>
            </w:r>
          </w:p>
          <w:p>
            <w:pPr>
              <w:numPr>
                <w:ilvl w:val="0"/>
                <w:numId w:val="6"/>
              </w:numPr>
              <w:spacing w:line="360" w:lineRule="auto"/>
              <w:ind w:firstLine="480" w:firstLineChars="200"/>
              <w:jc w:val="left"/>
              <w:rPr>
                <w:rFonts w:ascii="宋体" w:hAnsi="宋体"/>
                <w:sz w:val="24"/>
              </w:rPr>
            </w:pPr>
            <w:r>
              <w:rPr>
                <w:rFonts w:hint="eastAsia" w:ascii="宋体" w:hAnsi="宋体"/>
                <w:sz w:val="24"/>
              </w:rPr>
              <w:t>如果设备送修，需要保护好磁盘等存贮设备。要先将用户数据备份好，再送修改。整个过程要根据用户保密方面的要求做好文件数据资料的安全与保密。</w:t>
            </w:r>
          </w:p>
          <w:p>
            <w:pPr>
              <w:numPr>
                <w:ilvl w:val="0"/>
                <w:numId w:val="6"/>
              </w:numPr>
              <w:spacing w:line="360" w:lineRule="auto"/>
              <w:ind w:firstLine="480" w:firstLineChars="200"/>
              <w:jc w:val="left"/>
              <w:rPr>
                <w:rFonts w:ascii="宋体" w:hAnsi="宋体"/>
                <w:sz w:val="24"/>
              </w:rPr>
            </w:pPr>
            <w:r>
              <w:rPr>
                <w:rFonts w:hint="eastAsia" w:ascii="宋体" w:hAnsi="宋体"/>
                <w:sz w:val="24"/>
              </w:rPr>
              <w:t>需要提供备机服务，以保证用户工作得以正常开展。</w:t>
            </w:r>
          </w:p>
          <w:p>
            <w:pPr>
              <w:numPr>
                <w:ilvl w:val="0"/>
                <w:numId w:val="6"/>
              </w:numPr>
              <w:spacing w:line="360" w:lineRule="auto"/>
              <w:ind w:firstLine="480" w:firstLineChars="200"/>
              <w:jc w:val="left"/>
              <w:rPr>
                <w:rFonts w:ascii="宋体" w:hAnsi="宋体"/>
                <w:sz w:val="24"/>
              </w:rPr>
            </w:pPr>
            <w:r>
              <w:rPr>
                <w:rFonts w:hint="eastAsia" w:ascii="宋体" w:hAnsi="宋体"/>
                <w:sz w:val="24"/>
              </w:rPr>
              <w:t>桌面终端需要维护人员在指定地点对设备进行现场维护，保证设备的正常运行，并遵守相关的工作和保密方面的管理制度。维护人员需要具有良好的思想和职业道德，具有高度的工作责任感。</w:t>
            </w:r>
          </w:p>
          <w:p>
            <w:pPr>
              <w:numPr>
                <w:ilvl w:val="0"/>
                <w:numId w:val="6"/>
              </w:numPr>
              <w:spacing w:line="360" w:lineRule="auto"/>
              <w:ind w:firstLine="480" w:firstLineChars="200"/>
              <w:jc w:val="left"/>
              <w:rPr>
                <w:rFonts w:ascii="宋体" w:hAnsi="宋体"/>
                <w:sz w:val="24"/>
              </w:rPr>
            </w:pPr>
            <w:r>
              <w:rPr>
                <w:rFonts w:hint="eastAsia" w:ascii="宋体" w:hAnsi="宋体"/>
                <w:sz w:val="24"/>
              </w:rPr>
              <w:t>对局内的终端设备，每年进行一次登记检查</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pStyle w:val="3"/>
              <w:ind w:left="0" w:firstLine="480" w:firstLineChars="200"/>
              <w:rPr>
                <w:rFonts w:ascii="微软雅黑" w:hAnsi="微软雅黑" w:eastAsia="微软雅黑" w:cs="仿宋_GB2312"/>
                <w:b/>
                <w:szCs w:val="24"/>
              </w:rPr>
            </w:pPr>
            <w:r>
              <w:rPr>
                <w:rFonts w:hint="eastAsia" w:ascii="微软雅黑" w:hAnsi="微软雅黑" w:eastAsia="微软雅黑" w:cs="仿宋_GB2312"/>
                <w:b/>
                <w:szCs w:val="24"/>
              </w:rPr>
              <w:t>4. 视频监控系统</w:t>
            </w:r>
          </w:p>
          <w:p>
            <w:pPr>
              <w:spacing w:line="360" w:lineRule="auto"/>
              <w:ind w:left="560"/>
              <w:rPr>
                <w:rFonts w:ascii="宋体" w:hAnsi="宋体"/>
                <w:b/>
                <w:sz w:val="24"/>
              </w:rPr>
            </w:pPr>
            <w:r>
              <w:rPr>
                <w:rFonts w:hint="eastAsia" w:ascii="宋体" w:hAnsi="宋体"/>
                <w:b/>
                <w:sz w:val="24"/>
              </w:rPr>
              <w:t>注：该项目运维期间增加的视频监控设备，原则上由设备供应方负责保修，本项目运维方负责日常管理及协调供应方进行相关维保工作。</w:t>
            </w:r>
          </w:p>
          <w:p>
            <w:pPr>
              <w:spacing w:line="360" w:lineRule="auto"/>
              <w:ind w:left="560"/>
              <w:rPr>
                <w:rFonts w:ascii="微软雅黑" w:hAnsi="微软雅黑" w:eastAsia="微软雅黑" w:cs="仿宋_GB2312"/>
                <w:sz w:val="24"/>
              </w:rPr>
            </w:pPr>
            <w:r>
              <w:rPr>
                <w:rFonts w:hint="eastAsia" w:ascii="宋体" w:hAnsi="宋体"/>
                <w:sz w:val="24"/>
              </w:rPr>
              <w:t>1、现状</w:t>
            </w:r>
            <w:r>
              <w:rPr>
                <w:rFonts w:hint="eastAsia" w:ascii="微软雅黑" w:hAnsi="微软雅黑" w:eastAsia="微软雅黑" w:cs="仿宋_GB2312"/>
                <w:sz w:val="24"/>
              </w:rPr>
              <w:t xml:space="preserve"> </w:t>
            </w:r>
          </w:p>
          <w:p>
            <w:pPr>
              <w:pStyle w:val="11"/>
              <w:ind w:firstLine="480"/>
              <w:jc w:val="left"/>
              <w:rPr>
                <w:rFonts w:ascii="宋体" w:hAnsi="宋体"/>
                <w:sz w:val="24"/>
              </w:rPr>
            </w:pPr>
            <w:r>
              <w:rPr>
                <w:rFonts w:hint="eastAsia" w:ascii="宋体" w:hAnsi="宋体"/>
                <w:sz w:val="24"/>
              </w:rPr>
              <w:t>1）DVSONE16路硬盘录像机7台。</w:t>
            </w:r>
          </w:p>
          <w:p>
            <w:pPr>
              <w:pStyle w:val="11"/>
              <w:ind w:firstLine="480"/>
              <w:jc w:val="left"/>
              <w:rPr>
                <w:rFonts w:ascii="宋体" w:hAnsi="宋体"/>
                <w:sz w:val="24"/>
              </w:rPr>
            </w:pPr>
            <w:r>
              <w:rPr>
                <w:rFonts w:hint="eastAsia" w:ascii="宋体" w:hAnsi="宋体"/>
                <w:sz w:val="24"/>
              </w:rPr>
              <w:t>2）共计有11</w:t>
            </w:r>
            <w:r>
              <w:rPr>
                <w:rFonts w:hint="eastAsia" w:ascii="宋体" w:hAnsi="宋体"/>
                <w:color w:val="00B050"/>
                <w:sz w:val="24"/>
              </w:rPr>
              <w:t>5</w:t>
            </w:r>
            <w:r>
              <w:rPr>
                <w:rFonts w:hint="eastAsia" w:ascii="宋体" w:hAnsi="宋体"/>
                <w:sz w:val="24"/>
              </w:rPr>
              <w:t>支摄像机接入硬盘录像机（固定摄像机98路和球机12路）。</w:t>
            </w:r>
          </w:p>
          <w:p>
            <w:pPr>
              <w:pStyle w:val="11"/>
              <w:ind w:firstLine="480"/>
              <w:jc w:val="left"/>
              <w:rPr>
                <w:rFonts w:ascii="宋体" w:hAnsi="宋体"/>
                <w:sz w:val="24"/>
              </w:rPr>
            </w:pPr>
            <w:r>
              <w:rPr>
                <w:rFonts w:hint="eastAsia" w:ascii="宋体" w:hAnsi="宋体"/>
                <w:sz w:val="24"/>
              </w:rPr>
              <w:t>3）DVSONE112路视频监控矩阵1套。</w:t>
            </w:r>
          </w:p>
          <w:p>
            <w:pPr>
              <w:pStyle w:val="11"/>
              <w:ind w:firstLine="480"/>
              <w:jc w:val="left"/>
              <w:rPr>
                <w:rFonts w:ascii="宋体" w:hAnsi="宋体"/>
                <w:sz w:val="24"/>
              </w:rPr>
            </w:pPr>
            <w:r>
              <w:rPr>
                <w:rFonts w:hint="eastAsia" w:ascii="宋体" w:hAnsi="宋体"/>
                <w:sz w:val="24"/>
              </w:rPr>
              <w:t>4）电视墙一套（50寸显示器1台和17寸显示器8台）。</w:t>
            </w:r>
          </w:p>
          <w:p>
            <w:pPr>
              <w:pStyle w:val="11"/>
              <w:ind w:firstLine="480"/>
              <w:jc w:val="left"/>
              <w:rPr>
                <w:rFonts w:ascii="宋体" w:hAnsi="宋体"/>
                <w:sz w:val="24"/>
              </w:rPr>
            </w:pPr>
            <w:r>
              <w:rPr>
                <w:rFonts w:hint="eastAsia" w:ascii="宋体" w:hAnsi="宋体"/>
                <w:sz w:val="24"/>
              </w:rPr>
              <w:t>5） 红外报警系统1套，含9对红外对射。</w:t>
            </w:r>
          </w:p>
          <w:p>
            <w:pPr>
              <w:spacing w:line="360" w:lineRule="auto"/>
              <w:ind w:firstLine="560"/>
              <w:rPr>
                <w:rFonts w:ascii="微软雅黑" w:hAnsi="微软雅黑" w:eastAsia="微软雅黑" w:cs="仿宋_GB2312"/>
                <w:sz w:val="24"/>
              </w:rPr>
            </w:pPr>
            <w:r>
              <w:rPr>
                <w:rFonts w:hint="eastAsia" w:ascii="微软雅黑" w:hAnsi="微软雅黑" w:eastAsia="微软雅黑" w:cs="仿宋_GB2312"/>
                <w:sz w:val="24"/>
              </w:rPr>
              <w:t>维护内容：对上述产品进行维护，维护要求如下：</w:t>
            </w:r>
          </w:p>
          <w:p>
            <w:pPr>
              <w:spacing w:line="360" w:lineRule="auto"/>
              <w:ind w:firstLine="480" w:firstLineChars="200"/>
              <w:jc w:val="left"/>
              <w:rPr>
                <w:rFonts w:ascii="宋体" w:hAnsi="宋体"/>
                <w:sz w:val="24"/>
              </w:rPr>
            </w:pPr>
            <w:r>
              <w:rPr>
                <w:rFonts w:hint="eastAsia" w:ascii="宋体" w:hAnsi="宋体"/>
                <w:sz w:val="24"/>
              </w:rPr>
              <w:t>2、内容</w:t>
            </w:r>
          </w:p>
          <w:p>
            <w:pPr>
              <w:pStyle w:val="7"/>
              <w:spacing w:before="0" w:beforeAutospacing="0" w:after="330" w:afterAutospacing="0" w:line="420" w:lineRule="atLeast"/>
              <w:ind w:firstLine="590" w:firstLineChars="246"/>
              <w:rPr>
                <w:kern w:val="2"/>
              </w:rPr>
            </w:pPr>
            <w:r>
              <w:rPr>
                <w:rFonts w:hint="eastAsia"/>
                <w:kern w:val="2"/>
              </w:rPr>
              <w:t>一</w:t>
            </w:r>
            <w:r>
              <w:rPr>
                <w:kern w:val="2"/>
              </w:rPr>
              <w:t>、按国家有关规范和要求派专业人员对系统定期检查，测试，保养，维修，确保设备正常运行。</w:t>
            </w:r>
          </w:p>
          <w:p>
            <w:pPr>
              <w:pStyle w:val="7"/>
              <w:spacing w:before="0" w:beforeAutospacing="0" w:after="330" w:afterAutospacing="0" w:line="420" w:lineRule="atLeast"/>
              <w:ind w:firstLine="590" w:firstLineChars="246"/>
              <w:rPr>
                <w:kern w:val="2"/>
              </w:rPr>
            </w:pPr>
            <w:r>
              <w:rPr>
                <w:kern w:val="2"/>
              </w:rPr>
              <w:t>（1）对维保项目每</w:t>
            </w:r>
            <w:r>
              <w:rPr>
                <w:rFonts w:hint="eastAsia"/>
                <w:kern w:val="2"/>
              </w:rPr>
              <w:t>15天</w:t>
            </w:r>
            <w:r>
              <w:rPr>
                <w:kern w:val="2"/>
              </w:rPr>
              <w:t>不低于1次进行检测。并填写巡查记录，发现故障及时排除或修复，并作为考核维保工作的依据。</w:t>
            </w:r>
          </w:p>
          <w:p>
            <w:pPr>
              <w:pStyle w:val="7"/>
              <w:spacing w:before="0" w:beforeAutospacing="0" w:after="330" w:afterAutospacing="0" w:line="420" w:lineRule="atLeast"/>
              <w:ind w:firstLine="590" w:firstLineChars="246"/>
              <w:rPr>
                <w:kern w:val="2"/>
              </w:rPr>
            </w:pPr>
            <w:r>
              <w:rPr>
                <w:kern w:val="2"/>
              </w:rPr>
              <w:t>（2）每月1次系统状态进行检查，每年12次。</w:t>
            </w:r>
          </w:p>
          <w:p>
            <w:pPr>
              <w:pStyle w:val="7"/>
              <w:spacing w:before="0" w:beforeAutospacing="0" w:after="330" w:afterAutospacing="0" w:line="420" w:lineRule="atLeast"/>
              <w:ind w:firstLine="590" w:firstLineChars="246"/>
              <w:rPr>
                <w:kern w:val="2"/>
              </w:rPr>
            </w:pPr>
            <w:r>
              <w:rPr>
                <w:kern w:val="2"/>
              </w:rPr>
              <w:t>（3）每季度不低于1次对维保项目进检测。如出现故障或问</w:t>
            </w:r>
            <w:r>
              <w:rPr>
                <w:rFonts w:hint="eastAsia"/>
                <w:kern w:val="2"/>
              </w:rPr>
              <w:t>题</w:t>
            </w:r>
            <w:r>
              <w:rPr>
                <w:kern w:val="2"/>
              </w:rPr>
              <w:t>，要及时排除修复。　　</w:t>
            </w:r>
          </w:p>
          <w:p>
            <w:pPr>
              <w:pStyle w:val="7"/>
              <w:spacing w:before="0" w:beforeAutospacing="0" w:after="330" w:afterAutospacing="0" w:line="420" w:lineRule="atLeast"/>
              <w:ind w:firstLine="510"/>
              <w:rPr>
                <w:kern w:val="2"/>
              </w:rPr>
            </w:pPr>
            <w:r>
              <w:rPr>
                <w:rFonts w:hint="eastAsia"/>
                <w:kern w:val="2"/>
              </w:rPr>
              <w:t>二</w:t>
            </w:r>
            <w:r>
              <w:rPr>
                <w:kern w:val="2"/>
              </w:rPr>
              <w:t>、提供24小时维保电话，</w:t>
            </w:r>
            <w:r>
              <w:rPr>
                <w:rFonts w:hint="eastAsia"/>
                <w:kern w:val="2"/>
              </w:rPr>
              <w:t>24</w:t>
            </w:r>
            <w:r>
              <w:rPr>
                <w:kern w:val="2"/>
              </w:rPr>
              <w:t>*365天随时接受</w:t>
            </w:r>
            <w:r>
              <w:rPr>
                <w:rFonts w:hint="eastAsia"/>
                <w:kern w:val="2"/>
              </w:rPr>
              <w:t>局办公室</w:t>
            </w:r>
            <w:r>
              <w:rPr>
                <w:kern w:val="2"/>
              </w:rPr>
              <w:t>的服务请求；接到</w:t>
            </w:r>
            <w:r>
              <w:rPr>
                <w:rFonts w:hint="eastAsia"/>
                <w:kern w:val="2"/>
              </w:rPr>
              <w:t>办公室</w:t>
            </w:r>
            <w:r>
              <w:rPr>
                <w:kern w:val="2"/>
              </w:rPr>
              <w:t>服务请求后，</w:t>
            </w:r>
            <w:r>
              <w:rPr>
                <w:rFonts w:hint="eastAsia"/>
                <w:kern w:val="2"/>
              </w:rPr>
              <w:t>维保</w:t>
            </w:r>
            <w:r>
              <w:rPr>
                <w:kern w:val="2"/>
              </w:rPr>
              <w:t>人员及时现场维护，若仍未解决，将会派专业工程师8小时内到达现场。</w:t>
            </w:r>
          </w:p>
          <w:p>
            <w:pPr>
              <w:pStyle w:val="7"/>
              <w:spacing w:before="0" w:beforeAutospacing="0" w:after="330" w:afterAutospacing="0" w:line="420" w:lineRule="atLeast"/>
              <w:ind w:firstLine="510"/>
              <w:rPr>
                <w:kern w:val="2"/>
              </w:rPr>
            </w:pPr>
            <w:r>
              <w:rPr>
                <w:kern w:val="2"/>
              </w:rPr>
              <w:t>（1）维保技术人员对故障进行诊断后，按紧急程度不同划分，最迟在8小时内提交解决方案。</w:t>
            </w:r>
          </w:p>
          <w:p>
            <w:pPr>
              <w:pStyle w:val="7"/>
              <w:spacing w:before="0" w:beforeAutospacing="0" w:after="330" w:afterAutospacing="0" w:line="420" w:lineRule="atLeast"/>
              <w:ind w:firstLine="510"/>
              <w:rPr>
                <w:kern w:val="2"/>
              </w:rPr>
            </w:pPr>
            <w:r>
              <w:rPr>
                <w:kern w:val="2"/>
              </w:rPr>
              <w:t>（2）维保技术人员到达现场后需持续工作直到设备正常运行，一般故障应当在24小时内修复；如需等待购买配件或因设备本身等原因不能及时修复的，要立即向业主报告，并采取相应的应急措施，在此期间，系统中断运行不得超过</w:t>
            </w:r>
            <w:r>
              <w:rPr>
                <w:rFonts w:hint="eastAsia"/>
                <w:kern w:val="2"/>
              </w:rPr>
              <w:t>48</w:t>
            </w:r>
            <w:r>
              <w:rPr>
                <w:kern w:val="2"/>
              </w:rPr>
              <w:t>小时。</w:t>
            </w:r>
          </w:p>
          <w:p>
            <w:pPr>
              <w:pStyle w:val="7"/>
              <w:spacing w:before="0" w:beforeAutospacing="0" w:after="330" w:afterAutospacing="0" w:line="420" w:lineRule="atLeast"/>
              <w:ind w:firstLine="510"/>
              <w:rPr>
                <w:kern w:val="2"/>
              </w:rPr>
            </w:pPr>
            <w:r>
              <w:rPr>
                <w:kern w:val="2"/>
              </w:rPr>
              <w:t>（3）系统或设备修复后必须由</w:t>
            </w:r>
            <w:r>
              <w:rPr>
                <w:rFonts w:hint="eastAsia"/>
                <w:kern w:val="2"/>
              </w:rPr>
              <w:t>局办公室</w:t>
            </w:r>
            <w:r>
              <w:rPr>
                <w:kern w:val="2"/>
              </w:rPr>
              <w:t>相关人员确认。</w:t>
            </w:r>
          </w:p>
          <w:p>
            <w:pPr>
              <w:pStyle w:val="7"/>
              <w:spacing w:before="0" w:beforeAutospacing="0" w:after="330" w:afterAutospacing="0" w:line="420" w:lineRule="atLeast"/>
              <w:ind w:firstLine="510"/>
              <w:rPr>
                <w:kern w:val="2"/>
              </w:rPr>
            </w:pPr>
            <w:r>
              <w:rPr>
                <w:rFonts w:hint="eastAsia"/>
                <w:kern w:val="2"/>
              </w:rPr>
              <w:t>（4）每个季度（日期定为每个季度初）对前端摄像机、监控中心主要设备（存储设备、服务器、监视器、媒体服务器、解码器设备）、编码器进行一次巡检、除尘；对前端摄像机到交换机端的网络线路和从前端摄像机到楼内配电开关的电源线路进行一次检测，保证线路畅通，排除安全隐患。每次巡检、除尘和线路检测完成后需要有巡检和检测报告。</w:t>
            </w:r>
          </w:p>
          <w:p>
            <w:pPr>
              <w:pStyle w:val="7"/>
              <w:spacing w:before="0" w:beforeAutospacing="0" w:after="330" w:afterAutospacing="0" w:line="420" w:lineRule="atLeast"/>
              <w:ind w:firstLine="510"/>
              <w:rPr>
                <w:kern w:val="2"/>
              </w:rPr>
            </w:pPr>
            <w:r>
              <w:rPr>
                <w:rFonts w:hint="eastAsia"/>
                <w:kern w:val="2"/>
              </w:rPr>
              <w:t>（5）对安防监控系统设备的运行情况进行监控，分析运行情况，及时发现并排除故障，半年向客户提交一份系统运行状态及维保记录。</w:t>
            </w:r>
          </w:p>
          <w:p>
            <w:pPr>
              <w:pStyle w:val="7"/>
              <w:spacing w:before="0" w:beforeAutospacing="0" w:after="330" w:afterAutospacing="0" w:line="420" w:lineRule="atLeast"/>
              <w:ind w:firstLine="590" w:firstLineChars="246"/>
              <w:rPr>
                <w:kern w:val="2"/>
              </w:rPr>
            </w:pPr>
            <w:r>
              <w:rPr>
                <w:rFonts w:hint="eastAsia"/>
                <w:kern w:val="2"/>
              </w:rPr>
              <w:t>三</w:t>
            </w:r>
            <w:r>
              <w:rPr>
                <w:kern w:val="2"/>
              </w:rPr>
              <w:t>、设备更换：维护保养过程中</w:t>
            </w:r>
            <w:r>
              <w:rPr>
                <w:rFonts w:hint="eastAsia"/>
                <w:kern w:val="2"/>
              </w:rPr>
              <w:t>设备正常使用的必要耗材</w:t>
            </w:r>
            <w:r>
              <w:rPr>
                <w:kern w:val="2"/>
              </w:rPr>
              <w:t>，</w:t>
            </w:r>
            <w:r>
              <w:rPr>
                <w:rFonts w:hint="eastAsia"/>
                <w:kern w:val="2"/>
              </w:rPr>
              <w:t>公司负责免费维修和更换，前端设备损坏无法修复的</w:t>
            </w:r>
            <w:r>
              <w:rPr>
                <w:kern w:val="2"/>
              </w:rPr>
              <w:t>应事先向</w:t>
            </w:r>
            <w:r>
              <w:rPr>
                <w:rFonts w:hint="eastAsia"/>
                <w:kern w:val="2"/>
              </w:rPr>
              <w:t>局办公室</w:t>
            </w:r>
            <w:r>
              <w:rPr>
                <w:kern w:val="2"/>
              </w:rPr>
              <w:t>报告，由</w:t>
            </w:r>
            <w:r>
              <w:rPr>
                <w:rFonts w:hint="eastAsia"/>
                <w:kern w:val="2"/>
              </w:rPr>
              <w:t>局办公室</w:t>
            </w:r>
            <w:r>
              <w:rPr>
                <w:kern w:val="2"/>
              </w:rPr>
              <w:t>代表签字确认后，</w:t>
            </w:r>
            <w:r>
              <w:rPr>
                <w:rFonts w:hint="eastAsia"/>
                <w:kern w:val="2"/>
              </w:rPr>
              <w:t>由办公室负责购买或委托公司购买，维保单位负责安装。</w:t>
            </w:r>
          </w:p>
          <w:p>
            <w:pPr>
              <w:pStyle w:val="7"/>
              <w:spacing w:before="0" w:beforeAutospacing="0" w:after="330" w:afterAutospacing="0" w:line="420" w:lineRule="atLeast"/>
              <w:ind w:firstLine="590" w:firstLineChars="246"/>
              <w:rPr>
                <w:kern w:val="2"/>
              </w:rPr>
            </w:pPr>
            <w:r>
              <w:rPr>
                <w:rFonts w:hint="eastAsia"/>
                <w:kern w:val="2"/>
              </w:rPr>
              <w:t>四</w:t>
            </w:r>
            <w:r>
              <w:rPr>
                <w:kern w:val="2"/>
              </w:rPr>
              <w:t>、维保单位应向</w:t>
            </w:r>
            <w:r>
              <w:rPr>
                <w:rFonts w:hint="eastAsia"/>
                <w:kern w:val="2"/>
              </w:rPr>
              <w:t>局办公室</w:t>
            </w:r>
            <w:r>
              <w:rPr>
                <w:kern w:val="2"/>
              </w:rPr>
              <w:t>提交详细的工作计划与工作安排，对每次检修、保养工作要认真做好记录，并交</w:t>
            </w:r>
            <w:r>
              <w:rPr>
                <w:rFonts w:hint="eastAsia"/>
                <w:kern w:val="2"/>
              </w:rPr>
              <w:t>办公室</w:t>
            </w:r>
            <w:r>
              <w:rPr>
                <w:kern w:val="2"/>
              </w:rPr>
              <w:t>相关人员签字。</w:t>
            </w:r>
          </w:p>
          <w:p>
            <w:pPr>
              <w:pStyle w:val="7"/>
              <w:spacing w:before="0" w:beforeAutospacing="0" w:after="330" w:afterAutospacing="0" w:line="420" w:lineRule="atLeast"/>
              <w:ind w:firstLine="590" w:firstLineChars="246"/>
              <w:rPr>
                <w:kern w:val="2"/>
              </w:rPr>
            </w:pPr>
            <w:r>
              <w:rPr>
                <w:rFonts w:hint="eastAsia"/>
                <w:kern w:val="2"/>
              </w:rPr>
              <w:t>五</w:t>
            </w:r>
            <w:r>
              <w:rPr>
                <w:kern w:val="2"/>
              </w:rPr>
              <w:t>、</w:t>
            </w:r>
            <w:r>
              <w:rPr>
                <w:rFonts w:hint="eastAsia"/>
                <w:kern w:val="2"/>
              </w:rPr>
              <w:t>甲方会</w:t>
            </w:r>
            <w:r>
              <w:rPr>
                <w:kern w:val="2"/>
              </w:rPr>
              <w:t>切实加强现场管理，确保安全生产，在检修保修中发生人身、设备及第三者事故，乙方不承担任何责任。</w:t>
            </w:r>
          </w:p>
          <w:p>
            <w:pPr>
              <w:spacing w:line="360" w:lineRule="auto"/>
              <w:ind w:firstLine="480" w:firstLineChars="200"/>
              <w:jc w:val="left"/>
              <w:rPr>
                <w:rFonts w:ascii="宋体" w:hAnsi="宋体"/>
                <w:sz w:val="24"/>
              </w:rPr>
            </w:pPr>
            <w:r>
              <w:rPr>
                <w:rFonts w:hint="eastAsia" w:ascii="宋体" w:hAnsi="宋体"/>
                <w:sz w:val="24"/>
              </w:rPr>
              <w:t>六</w:t>
            </w:r>
            <w:r>
              <w:rPr>
                <w:rFonts w:ascii="宋体" w:hAnsi="宋体"/>
                <w:sz w:val="24"/>
              </w:rPr>
              <w:t>、</w:t>
            </w:r>
            <w:r>
              <w:rPr>
                <w:rFonts w:hint="eastAsia" w:ascii="宋体" w:hAnsi="宋体"/>
                <w:sz w:val="24"/>
              </w:rPr>
              <w:t>甲方</w:t>
            </w:r>
            <w:r>
              <w:rPr>
                <w:rFonts w:ascii="宋体" w:hAnsi="宋体"/>
                <w:sz w:val="24"/>
              </w:rPr>
              <w:t>不得对相关信息进行查询、下载，不得泄露乙方工作秘密</w:t>
            </w:r>
            <w:r>
              <w:rPr>
                <w:rFonts w:hint="eastAsia" w:ascii="宋体" w:hAnsi="宋体"/>
                <w:sz w:val="24"/>
                <w:lang w:eastAsia="zh-CN"/>
              </w:rPr>
              <w:t>，</w:t>
            </w:r>
            <w:r>
              <w:rPr>
                <w:rFonts w:hint="eastAsia" w:ascii="宋体" w:hAnsi="宋体" w:eastAsia="宋体" w:cs="Times New Roman"/>
                <w:i w:val="0"/>
                <w:iCs w:val="0"/>
                <w:caps w:val="0"/>
                <w:color w:val="auto"/>
                <w:spacing w:val="0"/>
                <w:sz w:val="24"/>
                <w:szCs w:val="24"/>
                <w:shd w:val="clear" w:fill="auto"/>
              </w:rPr>
              <w:t>切实落实保密责任和要求</w:t>
            </w:r>
            <w:r>
              <w:rPr>
                <w:rFonts w:ascii="宋体" w:hAnsi="宋体"/>
                <w:sz w:val="24"/>
              </w:rPr>
              <w:t>。维保单位工作人员进入业主单位展开维保工作，必须遵守业主的相关规章制度，服从业主单位的管理。　</w:t>
            </w:r>
          </w:p>
          <w:p>
            <w:pPr>
              <w:pStyle w:val="7"/>
              <w:spacing w:before="0" w:beforeAutospacing="0" w:after="330" w:afterAutospacing="0" w:line="420" w:lineRule="atLeast"/>
              <w:ind w:firstLine="510"/>
              <w:rPr>
                <w:kern w:val="2"/>
              </w:rPr>
            </w:pPr>
          </w:p>
          <w:p>
            <w:pPr>
              <w:spacing w:line="360" w:lineRule="auto"/>
              <w:jc w:val="left"/>
              <w:rPr>
                <w:rFonts w:ascii="宋体" w:hAnsi="宋体"/>
                <w:sz w:val="24"/>
              </w:rPr>
            </w:pPr>
            <w:r>
              <w:rPr>
                <w:rFonts w:ascii="宋体" w:hAnsi="宋体"/>
                <w:sz w:val="24"/>
              </w:rPr>
              <w:t>　</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560"/>
              <w:rPr>
                <w:rFonts w:ascii="微软雅黑" w:hAnsi="微软雅黑" w:eastAsia="微软雅黑"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微软雅黑" w:hAnsi="微软雅黑" w:eastAsia="微软雅黑"/>
                <w:sz w:val="24"/>
              </w:rPr>
            </w:pPr>
            <w:r>
              <w:rPr>
                <w:rFonts w:hint="eastAsia" w:ascii="微软雅黑" w:hAnsi="微软雅黑" w:eastAsia="微软雅黑" w:cs="宋体"/>
                <w:sz w:val="24"/>
              </w:rPr>
              <w:t>运维服务工作要求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jc w:val="center"/>
        </w:trPr>
        <w:tc>
          <w:tcPr>
            <w:tcW w:w="9628" w:type="dxa"/>
            <w:gridSpan w:val="6"/>
            <w:vAlign w:val="center"/>
          </w:tcPr>
          <w:p>
            <w:pPr>
              <w:pStyle w:val="22"/>
              <w:ind w:firstLine="0" w:firstLineChars="0"/>
              <w:rPr>
                <w:rFonts w:ascii="微软雅黑" w:hAnsi="微软雅黑" w:eastAsia="微软雅黑"/>
                <w:b/>
                <w:sz w:val="24"/>
                <w:szCs w:val="24"/>
              </w:rPr>
            </w:pPr>
            <w:r>
              <w:rPr>
                <w:rFonts w:hint="eastAsia" w:ascii="微软雅黑" w:hAnsi="微软雅黑" w:eastAsia="微软雅黑"/>
                <w:b/>
                <w:sz w:val="24"/>
                <w:szCs w:val="24"/>
              </w:rPr>
              <w:t>（一）服务要求</w:t>
            </w:r>
          </w:p>
          <w:tbl>
            <w:tblPr>
              <w:tblStyle w:val="9"/>
              <w:tblW w:w="9053" w:type="dxa"/>
              <w:tblInd w:w="0" w:type="dxa"/>
              <w:tblLayout w:type="fixed"/>
              <w:tblCellMar>
                <w:top w:w="0" w:type="dxa"/>
                <w:left w:w="108" w:type="dxa"/>
                <w:bottom w:w="0" w:type="dxa"/>
                <w:right w:w="108" w:type="dxa"/>
              </w:tblCellMar>
            </w:tblPr>
            <w:tblGrid>
              <w:gridCol w:w="2484"/>
              <w:gridCol w:w="2459"/>
              <w:gridCol w:w="1559"/>
              <w:gridCol w:w="2551"/>
            </w:tblGrid>
            <w:tr>
              <w:tblPrEx>
                <w:tblCellMar>
                  <w:top w:w="0" w:type="dxa"/>
                  <w:left w:w="108" w:type="dxa"/>
                  <w:bottom w:w="0" w:type="dxa"/>
                  <w:right w:w="108" w:type="dxa"/>
                </w:tblCellMar>
              </w:tblPrEx>
              <w:trPr>
                <w:trHeight w:val="270" w:hRule="atLeast"/>
              </w:trPr>
              <w:tc>
                <w:tcPr>
                  <w:tcW w:w="49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服务范围</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服务级别</w:t>
                  </w:r>
                </w:p>
              </w:tc>
              <w:tc>
                <w:tcPr>
                  <w:tcW w:w="25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备注</w:t>
                  </w:r>
                </w:p>
              </w:tc>
            </w:tr>
            <w:tr>
              <w:tblPrEx>
                <w:tblCellMar>
                  <w:top w:w="0" w:type="dxa"/>
                  <w:left w:w="108" w:type="dxa"/>
                  <w:bottom w:w="0" w:type="dxa"/>
                  <w:right w:w="108" w:type="dxa"/>
                </w:tblCellMar>
              </w:tblPrEx>
              <w:trPr>
                <w:trHeight w:val="270" w:hRule="atLeast"/>
              </w:trPr>
              <w:tc>
                <w:tcPr>
                  <w:tcW w:w="49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网络设备维护及安全服务</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A</w:t>
                  </w:r>
                </w:p>
              </w:tc>
              <w:tc>
                <w:tcPr>
                  <w:tcW w:w="255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4943"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会议系统　</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55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按照采购人要求</w:t>
                  </w:r>
                </w:p>
              </w:tc>
            </w:tr>
            <w:tr>
              <w:tblPrEx>
                <w:tblCellMar>
                  <w:top w:w="0" w:type="dxa"/>
                  <w:left w:w="108" w:type="dxa"/>
                  <w:bottom w:w="0" w:type="dxa"/>
                  <w:right w:w="108" w:type="dxa"/>
                </w:tblCellMar>
              </w:tblPrEx>
              <w:trPr>
                <w:trHeight w:val="270" w:hRule="atLeast"/>
              </w:trPr>
              <w:tc>
                <w:tcPr>
                  <w:tcW w:w="248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桌面及终端运维</w:t>
                  </w:r>
                </w:p>
              </w:tc>
              <w:tc>
                <w:tcPr>
                  <w:tcW w:w="245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局领导</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A</w:t>
                  </w:r>
                </w:p>
              </w:tc>
              <w:tc>
                <w:tcPr>
                  <w:tcW w:w="255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24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45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普通工作人员</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B</w:t>
                  </w:r>
                </w:p>
              </w:tc>
              <w:tc>
                <w:tcPr>
                  <w:tcW w:w="255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248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245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各镇街规划和自然资源所、</w:t>
                  </w:r>
                  <w:r>
                    <w:rPr>
                      <w:rFonts w:hint="eastAsia" w:ascii="Calibri" w:hAnsi="Calibri"/>
                      <w:szCs w:val="22"/>
                    </w:rPr>
                    <w:t>局驻政务大厅的办事处</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D</w:t>
                  </w:r>
                </w:p>
              </w:tc>
              <w:tc>
                <w:tcPr>
                  <w:tcW w:w="2551"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bl>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服务级别说明：</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A级服务级别</w:t>
            </w:r>
          </w:p>
          <w:p>
            <w:pPr>
              <w:pStyle w:val="22"/>
              <w:ind w:firstLine="480"/>
              <w:rPr>
                <w:rFonts w:ascii="微软雅黑" w:hAnsi="微软雅黑" w:eastAsia="微软雅黑"/>
                <w:sz w:val="24"/>
                <w:szCs w:val="24"/>
              </w:rPr>
            </w:pPr>
            <w:r>
              <w:rPr>
                <w:rFonts w:hint="eastAsia" w:ascii="微软雅黑" w:hAnsi="微软雅黑" w:eastAsia="微软雅黑"/>
                <w:sz w:val="24"/>
                <w:szCs w:val="24"/>
              </w:rPr>
              <w:t>故障响应时间</w:t>
            </w:r>
            <w:r>
              <w:rPr>
                <w:rFonts w:hint="eastAsia" w:ascii="微软雅黑" w:hAnsi="微软雅黑" w:eastAsia="微软雅黑"/>
                <w:sz w:val="24"/>
                <w:szCs w:val="24"/>
              </w:rPr>
              <w:tab/>
            </w:r>
            <w:r>
              <w:rPr>
                <w:rFonts w:hint="eastAsia" w:ascii="微软雅黑" w:hAnsi="微软雅黑" w:eastAsia="微软雅黑"/>
                <w:sz w:val="24"/>
                <w:szCs w:val="24"/>
              </w:rPr>
              <w:t>5分钟</w:t>
            </w:r>
          </w:p>
          <w:p>
            <w:pPr>
              <w:pStyle w:val="22"/>
              <w:ind w:firstLine="480"/>
              <w:rPr>
                <w:rFonts w:ascii="微软雅黑" w:hAnsi="微软雅黑" w:eastAsia="微软雅黑"/>
                <w:sz w:val="24"/>
                <w:szCs w:val="24"/>
              </w:rPr>
            </w:pPr>
            <w:r>
              <w:rPr>
                <w:rFonts w:hint="eastAsia" w:ascii="微软雅黑" w:hAnsi="微软雅黑" w:eastAsia="微软雅黑"/>
                <w:sz w:val="24"/>
                <w:szCs w:val="24"/>
              </w:rPr>
              <w:t>故障恢复时间</w:t>
            </w:r>
            <w:r>
              <w:rPr>
                <w:rFonts w:hint="eastAsia" w:ascii="微软雅黑" w:hAnsi="微软雅黑" w:eastAsia="微软雅黑"/>
                <w:sz w:val="24"/>
                <w:szCs w:val="24"/>
              </w:rPr>
              <w:tab/>
            </w:r>
            <w:r>
              <w:rPr>
                <w:rFonts w:hint="eastAsia" w:ascii="微软雅黑" w:hAnsi="微软雅黑" w:eastAsia="微软雅黑"/>
                <w:sz w:val="24"/>
                <w:szCs w:val="24"/>
              </w:rPr>
              <w:t>10分钟</w:t>
            </w:r>
          </w:p>
          <w:p>
            <w:pPr>
              <w:pStyle w:val="22"/>
              <w:ind w:firstLine="480"/>
              <w:rPr>
                <w:rFonts w:ascii="微软雅黑" w:hAnsi="微软雅黑" w:eastAsia="微软雅黑"/>
                <w:sz w:val="24"/>
                <w:szCs w:val="24"/>
              </w:rPr>
            </w:pPr>
            <w:r>
              <w:rPr>
                <w:rFonts w:hint="eastAsia" w:ascii="微软雅黑" w:hAnsi="微软雅黑" w:eastAsia="微软雅黑"/>
                <w:sz w:val="24"/>
                <w:szCs w:val="24"/>
              </w:rPr>
              <w:t>备件支持响应</w:t>
            </w:r>
            <w:r>
              <w:rPr>
                <w:rFonts w:hint="eastAsia" w:ascii="微软雅黑" w:hAnsi="微软雅黑" w:eastAsia="微软雅黑"/>
                <w:sz w:val="24"/>
                <w:szCs w:val="24"/>
              </w:rPr>
              <w:tab/>
            </w:r>
            <w:r>
              <w:rPr>
                <w:rFonts w:hint="eastAsia" w:ascii="微软雅黑" w:hAnsi="微软雅黑" w:eastAsia="微软雅黑"/>
                <w:sz w:val="24"/>
                <w:szCs w:val="24"/>
              </w:rPr>
              <w:t>7*24*2</w:t>
            </w:r>
          </w:p>
          <w:p>
            <w:pPr>
              <w:pStyle w:val="22"/>
              <w:ind w:firstLine="480"/>
              <w:rPr>
                <w:rFonts w:ascii="微软雅黑" w:hAnsi="微软雅黑" w:eastAsia="微软雅黑"/>
                <w:sz w:val="24"/>
                <w:szCs w:val="24"/>
              </w:rPr>
            </w:pPr>
            <w:r>
              <w:rPr>
                <w:rFonts w:hint="eastAsia" w:ascii="微软雅黑" w:hAnsi="微软雅黑" w:eastAsia="微软雅黑"/>
                <w:sz w:val="24"/>
                <w:szCs w:val="24"/>
              </w:rPr>
              <w:t>客户满意度</w:t>
            </w:r>
            <w:r>
              <w:rPr>
                <w:rFonts w:hint="eastAsia" w:ascii="微软雅黑" w:hAnsi="微软雅黑" w:eastAsia="微软雅黑"/>
                <w:sz w:val="24"/>
                <w:szCs w:val="24"/>
              </w:rPr>
              <w:tab/>
            </w:r>
            <w:r>
              <w:rPr>
                <w:rFonts w:hint="eastAsia" w:ascii="微软雅黑" w:hAnsi="微软雅黑" w:eastAsia="微软雅黑"/>
                <w:sz w:val="24"/>
                <w:szCs w:val="24"/>
              </w:rPr>
              <w:t>≥95%</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提交报告时间</w:t>
            </w:r>
            <w:r>
              <w:rPr>
                <w:rFonts w:hint="eastAsia" w:ascii="微软雅黑" w:hAnsi="微软雅黑" w:eastAsia="微软雅黑"/>
                <w:sz w:val="24"/>
                <w:szCs w:val="24"/>
              </w:rPr>
              <w:tab/>
            </w:r>
            <w:r>
              <w:rPr>
                <w:rFonts w:hint="eastAsia" w:ascii="微软雅黑" w:hAnsi="微软雅黑" w:eastAsia="微软雅黑"/>
                <w:sz w:val="24"/>
                <w:szCs w:val="24"/>
              </w:rPr>
              <w:t>一月一报</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B级服务级别</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故障响应时间</w:t>
            </w:r>
            <w:r>
              <w:rPr>
                <w:rFonts w:hint="eastAsia" w:ascii="微软雅黑" w:hAnsi="微软雅黑" w:eastAsia="微软雅黑"/>
                <w:sz w:val="24"/>
                <w:szCs w:val="24"/>
              </w:rPr>
              <w:tab/>
            </w:r>
            <w:r>
              <w:rPr>
                <w:rFonts w:hint="eastAsia" w:ascii="微软雅黑" w:hAnsi="微软雅黑" w:eastAsia="微软雅黑"/>
                <w:sz w:val="24"/>
                <w:szCs w:val="24"/>
              </w:rPr>
              <w:t>10分钟</w:t>
            </w:r>
            <w:r>
              <w:rPr>
                <w:rFonts w:hint="eastAsia" w:ascii="微软雅黑" w:hAnsi="微软雅黑" w:eastAsia="微软雅黑"/>
                <w:sz w:val="24"/>
                <w:szCs w:val="24"/>
              </w:rPr>
              <w:tab/>
            </w:r>
            <w:r>
              <w:rPr>
                <w:rFonts w:hint="eastAsia" w:ascii="微软雅黑" w:hAnsi="微软雅黑" w:eastAsia="微软雅黑"/>
                <w:sz w:val="24"/>
                <w:szCs w:val="24"/>
              </w:rPr>
              <w:t xml:space="preserve">      </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故障恢复时间</w:t>
            </w:r>
            <w:r>
              <w:rPr>
                <w:rFonts w:hint="eastAsia" w:ascii="微软雅黑" w:hAnsi="微软雅黑" w:eastAsia="微软雅黑"/>
                <w:sz w:val="24"/>
                <w:szCs w:val="24"/>
              </w:rPr>
              <w:tab/>
            </w:r>
            <w:r>
              <w:rPr>
                <w:rFonts w:hint="eastAsia" w:ascii="微软雅黑" w:hAnsi="微软雅黑" w:eastAsia="微软雅黑"/>
                <w:sz w:val="24"/>
                <w:szCs w:val="24"/>
              </w:rPr>
              <w:t>1小时</w:t>
            </w:r>
            <w:r>
              <w:rPr>
                <w:rFonts w:hint="eastAsia" w:ascii="微软雅黑" w:hAnsi="微软雅黑" w:eastAsia="微软雅黑"/>
                <w:sz w:val="24"/>
                <w:szCs w:val="24"/>
              </w:rPr>
              <w:tab/>
            </w:r>
            <w:r>
              <w:rPr>
                <w:rFonts w:hint="eastAsia" w:ascii="微软雅黑" w:hAnsi="微软雅黑" w:eastAsia="微软雅黑"/>
                <w:sz w:val="24"/>
                <w:szCs w:val="24"/>
              </w:rPr>
              <w:t xml:space="preserve">       </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备件支持响应</w:t>
            </w:r>
            <w:r>
              <w:rPr>
                <w:rFonts w:hint="eastAsia" w:ascii="微软雅黑" w:hAnsi="微软雅黑" w:eastAsia="微软雅黑"/>
                <w:sz w:val="24"/>
                <w:szCs w:val="24"/>
              </w:rPr>
              <w:tab/>
            </w:r>
            <w:r>
              <w:rPr>
                <w:rFonts w:hint="eastAsia" w:ascii="微软雅黑" w:hAnsi="微软雅黑" w:eastAsia="微软雅黑"/>
                <w:sz w:val="24"/>
                <w:szCs w:val="24"/>
              </w:rPr>
              <w:t>7*12*4</w:t>
            </w:r>
            <w:r>
              <w:rPr>
                <w:rFonts w:hint="eastAsia" w:ascii="微软雅黑" w:hAnsi="微软雅黑" w:eastAsia="微软雅黑"/>
                <w:sz w:val="24"/>
                <w:szCs w:val="24"/>
              </w:rPr>
              <w:tab/>
            </w:r>
            <w:r>
              <w:rPr>
                <w:rFonts w:hint="eastAsia" w:ascii="微软雅黑" w:hAnsi="微软雅黑" w:eastAsia="微软雅黑"/>
                <w:sz w:val="24"/>
                <w:szCs w:val="24"/>
              </w:rPr>
              <w:t xml:space="preserve">      </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客户满意度</w:t>
            </w:r>
            <w:r>
              <w:rPr>
                <w:rFonts w:hint="eastAsia" w:ascii="微软雅黑" w:hAnsi="微软雅黑" w:eastAsia="微软雅黑"/>
                <w:sz w:val="24"/>
                <w:szCs w:val="24"/>
              </w:rPr>
              <w:tab/>
            </w:r>
            <w:r>
              <w:rPr>
                <w:rFonts w:hint="eastAsia" w:ascii="微软雅黑" w:hAnsi="微软雅黑" w:eastAsia="微软雅黑"/>
                <w:sz w:val="24"/>
                <w:szCs w:val="24"/>
              </w:rPr>
              <w:t xml:space="preserve">    ≥90%</w:t>
            </w:r>
            <w:r>
              <w:rPr>
                <w:rFonts w:hint="eastAsia" w:ascii="微软雅黑" w:hAnsi="微软雅黑" w:eastAsia="微软雅黑"/>
                <w:sz w:val="24"/>
                <w:szCs w:val="24"/>
              </w:rPr>
              <w:tab/>
            </w:r>
            <w:r>
              <w:rPr>
                <w:rFonts w:hint="eastAsia" w:ascii="微软雅黑" w:hAnsi="微软雅黑" w:eastAsia="微软雅黑"/>
                <w:sz w:val="24"/>
                <w:szCs w:val="24"/>
              </w:rPr>
              <w:t xml:space="preserve">     </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提交报告时间</w:t>
            </w:r>
            <w:r>
              <w:rPr>
                <w:rFonts w:hint="eastAsia" w:ascii="微软雅黑" w:hAnsi="微软雅黑" w:eastAsia="微软雅黑"/>
                <w:sz w:val="24"/>
                <w:szCs w:val="24"/>
              </w:rPr>
              <w:tab/>
            </w:r>
            <w:r>
              <w:rPr>
                <w:rFonts w:hint="eastAsia" w:ascii="微软雅黑" w:hAnsi="微软雅黑" w:eastAsia="微软雅黑"/>
                <w:sz w:val="24"/>
                <w:szCs w:val="24"/>
              </w:rPr>
              <w:t xml:space="preserve">一月一报    </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C级服务级别</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故障响应时间</w:t>
            </w:r>
            <w:r>
              <w:rPr>
                <w:rFonts w:hint="eastAsia" w:ascii="微软雅黑" w:hAnsi="微软雅黑" w:eastAsia="微软雅黑"/>
                <w:sz w:val="24"/>
                <w:szCs w:val="24"/>
              </w:rPr>
              <w:tab/>
            </w:r>
            <w:r>
              <w:rPr>
                <w:rFonts w:hint="eastAsia" w:ascii="微软雅黑" w:hAnsi="微软雅黑" w:eastAsia="微软雅黑"/>
                <w:sz w:val="24"/>
                <w:szCs w:val="24"/>
              </w:rPr>
              <w:t xml:space="preserve"> 30分钟</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故障恢复时间</w:t>
            </w:r>
            <w:r>
              <w:rPr>
                <w:rFonts w:hint="eastAsia" w:ascii="微软雅黑" w:hAnsi="微软雅黑" w:eastAsia="微软雅黑"/>
                <w:sz w:val="24"/>
                <w:szCs w:val="24"/>
              </w:rPr>
              <w:tab/>
            </w:r>
            <w:r>
              <w:rPr>
                <w:rFonts w:hint="eastAsia" w:ascii="微软雅黑" w:hAnsi="微软雅黑" w:eastAsia="微软雅黑"/>
                <w:sz w:val="24"/>
                <w:szCs w:val="24"/>
              </w:rPr>
              <w:t xml:space="preserve"> 2小时</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备件支持响应</w:t>
            </w:r>
            <w:r>
              <w:rPr>
                <w:rFonts w:hint="eastAsia" w:ascii="微软雅黑" w:hAnsi="微软雅黑" w:eastAsia="微软雅黑"/>
                <w:sz w:val="24"/>
                <w:szCs w:val="24"/>
              </w:rPr>
              <w:tab/>
            </w:r>
            <w:r>
              <w:rPr>
                <w:rFonts w:hint="eastAsia" w:ascii="微软雅黑" w:hAnsi="微软雅黑" w:eastAsia="微软雅黑"/>
                <w:sz w:val="24"/>
                <w:szCs w:val="24"/>
              </w:rPr>
              <w:t xml:space="preserve"> 5*8*12</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客户满意度</w:t>
            </w:r>
            <w:r>
              <w:rPr>
                <w:rFonts w:hint="eastAsia" w:ascii="微软雅黑" w:hAnsi="微软雅黑" w:eastAsia="微软雅黑"/>
                <w:sz w:val="24"/>
                <w:szCs w:val="24"/>
              </w:rPr>
              <w:tab/>
            </w:r>
            <w:r>
              <w:rPr>
                <w:rFonts w:hint="eastAsia" w:ascii="微软雅黑" w:hAnsi="微软雅黑" w:eastAsia="微软雅黑"/>
                <w:sz w:val="24"/>
                <w:szCs w:val="24"/>
              </w:rPr>
              <w:t xml:space="preserve">     ≥90%</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提交报告时间   一季一报</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D级服务级别</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故障响应时间</w:t>
            </w:r>
            <w:r>
              <w:rPr>
                <w:rFonts w:hint="eastAsia" w:ascii="微软雅黑" w:hAnsi="微软雅黑" w:eastAsia="微软雅黑"/>
                <w:sz w:val="24"/>
                <w:szCs w:val="24"/>
              </w:rPr>
              <w:tab/>
            </w:r>
            <w:r>
              <w:rPr>
                <w:rFonts w:hint="eastAsia" w:ascii="微软雅黑" w:hAnsi="微软雅黑" w:eastAsia="微软雅黑"/>
                <w:sz w:val="24"/>
                <w:szCs w:val="24"/>
              </w:rPr>
              <w:t xml:space="preserve"> 60分钟</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故障恢复时间</w:t>
            </w:r>
            <w:r>
              <w:rPr>
                <w:rFonts w:hint="eastAsia" w:ascii="微软雅黑" w:hAnsi="微软雅黑" w:eastAsia="微软雅黑"/>
                <w:sz w:val="24"/>
                <w:szCs w:val="24"/>
              </w:rPr>
              <w:tab/>
            </w:r>
            <w:r>
              <w:rPr>
                <w:rFonts w:hint="eastAsia" w:ascii="微软雅黑" w:hAnsi="微软雅黑" w:eastAsia="微软雅黑"/>
                <w:sz w:val="24"/>
                <w:szCs w:val="24"/>
              </w:rPr>
              <w:t xml:space="preserve"> 6小时</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备件支持响应</w:t>
            </w:r>
            <w:r>
              <w:rPr>
                <w:rFonts w:hint="eastAsia" w:ascii="微软雅黑" w:hAnsi="微软雅黑" w:eastAsia="微软雅黑"/>
                <w:sz w:val="24"/>
                <w:szCs w:val="24"/>
              </w:rPr>
              <w:tab/>
            </w:r>
            <w:r>
              <w:rPr>
                <w:rFonts w:hint="eastAsia" w:ascii="微软雅黑" w:hAnsi="微软雅黑" w:eastAsia="微软雅黑"/>
                <w:sz w:val="24"/>
                <w:szCs w:val="24"/>
              </w:rPr>
              <w:t xml:space="preserve"> 5*8*12</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客户满意度</w:t>
            </w:r>
            <w:r>
              <w:rPr>
                <w:rFonts w:hint="eastAsia" w:ascii="微软雅黑" w:hAnsi="微软雅黑" w:eastAsia="微软雅黑"/>
                <w:sz w:val="24"/>
                <w:szCs w:val="24"/>
              </w:rPr>
              <w:tab/>
            </w:r>
            <w:r>
              <w:rPr>
                <w:rFonts w:hint="eastAsia" w:ascii="微软雅黑" w:hAnsi="微软雅黑" w:eastAsia="微软雅黑"/>
                <w:sz w:val="24"/>
                <w:szCs w:val="24"/>
              </w:rPr>
              <w:t xml:space="preserve">     ≥90%</w:t>
            </w:r>
          </w:p>
          <w:p>
            <w:pPr>
              <w:pStyle w:val="22"/>
              <w:ind w:firstLine="470" w:firstLineChars="196"/>
              <w:rPr>
                <w:rFonts w:ascii="微软雅黑" w:hAnsi="微软雅黑" w:eastAsia="微软雅黑"/>
                <w:sz w:val="24"/>
                <w:szCs w:val="24"/>
              </w:rPr>
            </w:pPr>
            <w:r>
              <w:rPr>
                <w:rFonts w:hint="eastAsia" w:ascii="微软雅黑" w:hAnsi="微软雅黑" w:eastAsia="微软雅黑"/>
                <w:sz w:val="24"/>
                <w:szCs w:val="24"/>
              </w:rPr>
              <w:t>提交报告时间   一季一报</w:t>
            </w:r>
          </w:p>
          <w:p>
            <w:pPr>
              <w:pStyle w:val="22"/>
              <w:ind w:firstLine="470" w:firstLineChars="196"/>
              <w:rPr>
                <w:rFonts w:ascii="微软雅黑" w:hAnsi="微软雅黑" w:eastAsia="微软雅黑"/>
                <w:sz w:val="24"/>
                <w:szCs w:val="24"/>
              </w:rPr>
            </w:pPr>
          </w:p>
          <w:p>
            <w:pPr>
              <w:pStyle w:val="22"/>
              <w:ind w:firstLine="0" w:firstLineChars="0"/>
              <w:jc w:val="left"/>
              <w:rPr>
                <w:rFonts w:ascii="微软雅黑" w:hAnsi="微软雅黑" w:eastAsia="微软雅黑"/>
                <w:b/>
                <w:sz w:val="24"/>
                <w:szCs w:val="24"/>
              </w:rPr>
            </w:pPr>
            <w:r>
              <w:rPr>
                <w:rFonts w:hint="eastAsia" w:ascii="微软雅黑" w:hAnsi="微软雅黑" w:eastAsia="微软雅黑"/>
                <w:b/>
                <w:sz w:val="24"/>
                <w:szCs w:val="24"/>
              </w:rPr>
              <w:t>（二）服务方式</w:t>
            </w:r>
          </w:p>
          <w:p>
            <w:pPr>
              <w:spacing w:line="360" w:lineRule="auto"/>
              <w:ind w:firstLine="460" w:firstLineChars="192"/>
              <w:rPr>
                <w:rFonts w:ascii="微软雅黑" w:hAnsi="微软雅黑" w:eastAsia="微软雅黑"/>
                <w:b/>
                <w:sz w:val="24"/>
              </w:rPr>
            </w:pPr>
            <w:r>
              <w:rPr>
                <w:rFonts w:hint="eastAsia" w:ascii="微软雅黑" w:hAnsi="微软雅黑" w:eastAsia="微软雅黑"/>
                <w:b/>
                <w:sz w:val="24"/>
              </w:rPr>
              <w:t>1）热线电话</w:t>
            </w:r>
          </w:p>
          <w:p>
            <w:pPr>
              <w:spacing w:line="360" w:lineRule="auto"/>
              <w:ind w:firstLine="460" w:firstLineChars="192"/>
              <w:rPr>
                <w:rFonts w:ascii="微软雅黑" w:hAnsi="微软雅黑" w:eastAsia="微软雅黑"/>
                <w:sz w:val="24"/>
              </w:rPr>
            </w:pPr>
            <w:r>
              <w:rPr>
                <w:rFonts w:hint="eastAsia" w:ascii="微软雅黑" w:hAnsi="微软雅黑" w:eastAsia="微软雅黑"/>
                <w:sz w:val="24"/>
              </w:rPr>
              <w:t>提供一个运维服务专线电话。</w:t>
            </w:r>
          </w:p>
          <w:p>
            <w:pPr>
              <w:spacing w:line="360" w:lineRule="auto"/>
              <w:ind w:firstLine="460" w:firstLineChars="192"/>
              <w:rPr>
                <w:rFonts w:ascii="微软雅黑" w:hAnsi="微软雅黑" w:eastAsia="微软雅黑"/>
                <w:b/>
                <w:sz w:val="24"/>
              </w:rPr>
            </w:pPr>
            <w:r>
              <w:rPr>
                <w:rFonts w:hint="eastAsia" w:ascii="微软雅黑" w:hAnsi="微软雅黑" w:eastAsia="微软雅黑"/>
                <w:b/>
                <w:sz w:val="24"/>
              </w:rPr>
              <w:t>2）现场服务</w:t>
            </w:r>
          </w:p>
          <w:p>
            <w:pPr>
              <w:spacing w:line="360" w:lineRule="auto"/>
              <w:ind w:firstLine="460" w:firstLineChars="192"/>
              <w:rPr>
                <w:rFonts w:ascii="微软雅黑" w:hAnsi="微软雅黑" w:eastAsia="微软雅黑"/>
                <w:sz w:val="24"/>
              </w:rPr>
            </w:pPr>
            <w:r>
              <w:rPr>
                <w:rFonts w:hint="eastAsia" w:ascii="微软雅黑" w:hAnsi="微软雅黑" w:eastAsia="微软雅黑"/>
                <w:sz w:val="24"/>
              </w:rPr>
              <w:t>提供5*8小时（星期一 -- 星期五，每天8小时）以及紧急情况的现场服务，并提供对所有技术支持、服务请求、故障报修、技术咨询的单点专员联系，同时加强系统的监控、巡检及管理。对所有问题的记录、分派、跟踪和管理、分析和报告。</w:t>
            </w:r>
          </w:p>
          <w:p>
            <w:pPr>
              <w:spacing w:line="360" w:lineRule="auto"/>
              <w:ind w:firstLine="460" w:firstLineChars="192"/>
              <w:rPr>
                <w:rFonts w:ascii="微软雅黑" w:hAnsi="微软雅黑" w:eastAsia="微软雅黑"/>
                <w:b/>
                <w:sz w:val="24"/>
              </w:rPr>
            </w:pPr>
            <w:bookmarkStart w:id="8" w:name="_Toc107736082"/>
            <w:bookmarkStart w:id="9" w:name="_Toc47261564"/>
            <w:bookmarkStart w:id="10" w:name="_Toc34137366"/>
            <w:bookmarkStart w:id="11" w:name="_Toc57623564"/>
            <w:bookmarkStart w:id="12" w:name="_Toc202098067"/>
            <w:r>
              <w:rPr>
                <w:rFonts w:hint="eastAsia" w:ascii="微软雅黑" w:hAnsi="微软雅黑" w:eastAsia="微软雅黑"/>
                <w:b/>
                <w:sz w:val="24"/>
              </w:rPr>
              <w:t>3）远程服务</w:t>
            </w:r>
            <w:bookmarkEnd w:id="8"/>
            <w:bookmarkEnd w:id="9"/>
            <w:bookmarkEnd w:id="10"/>
            <w:bookmarkEnd w:id="11"/>
            <w:bookmarkEnd w:id="12"/>
          </w:p>
          <w:p>
            <w:pPr>
              <w:spacing w:line="360" w:lineRule="auto"/>
              <w:ind w:firstLine="460" w:firstLineChars="192"/>
              <w:rPr>
                <w:rFonts w:ascii="微软雅黑" w:hAnsi="微软雅黑" w:eastAsia="微软雅黑"/>
              </w:rPr>
            </w:pPr>
            <w:r>
              <w:rPr>
                <w:rFonts w:hint="eastAsia" w:ascii="微软雅黑" w:hAnsi="微软雅黑" w:eastAsia="微软雅黑"/>
                <w:sz w:val="24"/>
              </w:rPr>
              <w:t>提供7*24小时（星期一 -- 星期日，每天24小时）的远程服务，可以通过专线电话、网上报修、电子邮件得到工程师技术服务。值班工程师可以实时对客户请求进行处理。包括服务请求、远程故障诊断、技术咨询等服务。</w:t>
            </w:r>
            <w:bookmarkStart w:id="13" w:name="_Toc386026010"/>
            <w:bookmarkStart w:id="14" w:name="_Toc272065903"/>
          </w:p>
          <w:bookmarkEnd w:id="13"/>
          <w:bookmarkEnd w:id="14"/>
          <w:p>
            <w:pPr>
              <w:pStyle w:val="14"/>
              <w:spacing w:line="360" w:lineRule="auto"/>
              <w:ind w:firstLine="480" w:firstLineChars="200"/>
              <w:rPr>
                <w:rFonts w:ascii="微软雅黑" w:hAnsi="微软雅黑" w:eastAsia="微软雅黑"/>
                <w:sz w:val="24"/>
              </w:rPr>
            </w:pPr>
            <w:r>
              <w:rPr>
                <w:rFonts w:hint="eastAsia" w:ascii="微软雅黑" w:hAnsi="微软雅黑" w:eastAsia="微软雅黑"/>
                <w:sz w:val="24"/>
              </w:rPr>
              <w:t>3.工程师技术支持服务</w:t>
            </w:r>
          </w:p>
          <w:p>
            <w:pPr>
              <w:pStyle w:val="14"/>
              <w:spacing w:line="360" w:lineRule="auto"/>
              <w:ind w:firstLine="480" w:firstLineChars="200"/>
              <w:rPr>
                <w:rFonts w:ascii="微软雅黑" w:hAnsi="微软雅黑" w:eastAsia="微软雅黑"/>
                <w:sz w:val="24"/>
              </w:rPr>
            </w:pPr>
            <w:r>
              <w:rPr>
                <w:rFonts w:hint="eastAsia" w:ascii="微软雅黑" w:hAnsi="微软雅黑" w:eastAsia="微软雅黑"/>
                <w:sz w:val="24"/>
              </w:rPr>
              <w:t>要求至少提供1名普通工程师；</w:t>
            </w:r>
            <w:r>
              <w:rPr>
                <w:rFonts w:hint="eastAsia" w:ascii="微软雅黑" w:hAnsi="微软雅黑" w:eastAsia="微软雅黑" w:cs="仿宋_GB2312"/>
                <w:kern w:val="0"/>
                <w:sz w:val="24"/>
              </w:rPr>
              <w:t>接障后技术支持人员必须在相应时间内作出响应，详细记录故障现象。</w:t>
            </w:r>
          </w:p>
          <w:p>
            <w:pPr>
              <w:pStyle w:val="22"/>
              <w:ind w:firstLine="0" w:firstLineChars="0"/>
              <w:jc w:val="left"/>
              <w:rPr>
                <w:rFonts w:ascii="微软雅黑" w:hAnsi="微软雅黑" w:eastAsia="微软雅黑"/>
                <w:b/>
                <w:sz w:val="24"/>
                <w:szCs w:val="24"/>
              </w:rPr>
            </w:pPr>
            <w:r>
              <w:rPr>
                <w:rFonts w:hint="eastAsia" w:ascii="微软雅黑" w:hAnsi="微软雅黑" w:eastAsia="微软雅黑"/>
                <w:b/>
                <w:sz w:val="24"/>
                <w:szCs w:val="24"/>
              </w:rPr>
              <w:t>（三）项目整体设计，组织及实施方案的总体把关</w:t>
            </w:r>
          </w:p>
          <w:p>
            <w:pPr>
              <w:pStyle w:val="22"/>
              <w:ind w:firstLine="480"/>
              <w:jc w:val="left"/>
              <w:rPr>
                <w:rFonts w:ascii="微软雅黑" w:hAnsi="微软雅黑" w:eastAsia="微软雅黑"/>
                <w:sz w:val="24"/>
                <w:szCs w:val="24"/>
              </w:rPr>
            </w:pPr>
            <w:r>
              <w:rPr>
                <w:rFonts w:hint="eastAsia" w:ascii="微软雅黑" w:hAnsi="微软雅黑" w:eastAsia="微软雅黑"/>
                <w:sz w:val="24"/>
                <w:szCs w:val="24"/>
              </w:rPr>
              <w:t>由项目采购人负责该项目的具体实施和把关。</w:t>
            </w:r>
          </w:p>
          <w:p>
            <w:pPr>
              <w:pStyle w:val="22"/>
              <w:ind w:firstLine="0" w:firstLineChars="0"/>
              <w:jc w:val="left"/>
              <w:rPr>
                <w:rFonts w:ascii="微软雅黑" w:hAnsi="微软雅黑" w:eastAsia="微软雅黑"/>
                <w:b/>
                <w:sz w:val="24"/>
                <w:szCs w:val="24"/>
              </w:rPr>
            </w:pPr>
            <w:r>
              <w:rPr>
                <w:rFonts w:hint="eastAsia" w:ascii="微软雅黑" w:hAnsi="微软雅黑" w:eastAsia="微软雅黑"/>
                <w:b/>
                <w:sz w:val="24"/>
                <w:szCs w:val="24"/>
              </w:rPr>
              <w:t>（四）质量控制</w:t>
            </w:r>
          </w:p>
          <w:p>
            <w:pPr>
              <w:pStyle w:val="14"/>
              <w:spacing w:line="360" w:lineRule="auto"/>
              <w:ind w:firstLine="480" w:firstLineChars="200"/>
              <w:rPr>
                <w:rFonts w:ascii="微软雅黑" w:hAnsi="微软雅黑" w:eastAsia="微软雅黑"/>
                <w:sz w:val="24"/>
              </w:rPr>
            </w:pPr>
            <w:r>
              <w:rPr>
                <w:rFonts w:hint="eastAsia" w:ascii="微软雅黑" w:hAnsi="微软雅黑" w:eastAsia="微软雅黑"/>
                <w:sz w:val="24"/>
              </w:rPr>
              <w:t>本项目实行三级质量控制，第一级由投标人对运维质量进行控制，确保工程师严格按照相关运维标准和要求对合同范围内的信息系统进行运维保障，同时确保技术支持服务到位，定期考核运维绩效；第二级由采购人的具体负责部门对投标人提供的服务定期进行绩效评定，做好运维服务的协调和管理工作；第三级由采购人单位对投标人进行质量控制，把服务绩效与合同支付条件互相挂钩，同时预留质量保证金，在合同完成后邀请第三方进行符合性验收，验收通过并提交工信委备案后再支付质保金，促使投标人提供优良的运维服务。</w:t>
            </w:r>
          </w:p>
          <w:p>
            <w:pPr>
              <w:pStyle w:val="22"/>
              <w:ind w:firstLine="120" w:firstLineChars="50"/>
              <w:jc w:val="left"/>
              <w:rPr>
                <w:rFonts w:ascii="微软雅黑" w:hAnsi="微软雅黑" w:eastAsia="微软雅黑"/>
                <w:b/>
                <w:sz w:val="24"/>
                <w:szCs w:val="24"/>
              </w:rPr>
            </w:pPr>
            <w:r>
              <w:rPr>
                <w:rFonts w:hint="eastAsia" w:ascii="微软雅黑" w:hAnsi="微软雅黑" w:eastAsia="微软雅黑"/>
                <w:b/>
                <w:sz w:val="24"/>
                <w:szCs w:val="24"/>
              </w:rPr>
              <w:t>(五) 进度控制</w:t>
            </w:r>
          </w:p>
          <w:p>
            <w:pPr>
              <w:pStyle w:val="14"/>
              <w:spacing w:line="360" w:lineRule="auto"/>
              <w:ind w:firstLine="480" w:firstLineChars="200"/>
              <w:rPr>
                <w:rFonts w:ascii="微软雅黑" w:hAnsi="微软雅黑" w:eastAsia="微软雅黑"/>
                <w:sz w:val="24"/>
              </w:rPr>
            </w:pPr>
            <w:r>
              <w:rPr>
                <w:rFonts w:hint="eastAsia" w:ascii="微软雅黑" w:hAnsi="微软雅黑" w:eastAsia="微软雅黑"/>
                <w:sz w:val="24"/>
              </w:rPr>
              <w:t>本项目为信息系统日常性维护性项目，进度控制主要针对日常性运维服务进度、一次性服务工作进度、原厂服务合同签订和执行进度等，具体控制方式可参考“质量控制”，也分为三级控制，与绩效考核及合同支付相互挂钩。</w:t>
            </w:r>
          </w:p>
          <w:p>
            <w:pPr>
              <w:pStyle w:val="22"/>
              <w:ind w:firstLine="120" w:firstLineChars="50"/>
              <w:jc w:val="left"/>
              <w:rPr>
                <w:rFonts w:ascii="微软雅黑" w:hAnsi="微软雅黑" w:eastAsia="微软雅黑"/>
                <w:b/>
                <w:sz w:val="24"/>
                <w:szCs w:val="24"/>
              </w:rPr>
            </w:pPr>
            <w:r>
              <w:rPr>
                <w:rFonts w:hint="eastAsia" w:ascii="微软雅黑" w:hAnsi="微软雅黑" w:eastAsia="微软雅黑"/>
                <w:b/>
                <w:sz w:val="24"/>
                <w:szCs w:val="24"/>
              </w:rPr>
              <w:t>(六)合同管理</w:t>
            </w:r>
          </w:p>
          <w:p>
            <w:pPr>
              <w:pStyle w:val="14"/>
              <w:spacing w:line="360" w:lineRule="auto"/>
              <w:ind w:firstLine="480" w:firstLineChars="200"/>
              <w:rPr>
                <w:rFonts w:ascii="微软雅黑" w:hAnsi="微软雅黑" w:eastAsia="微软雅黑"/>
                <w:sz w:val="24"/>
              </w:rPr>
            </w:pPr>
            <w:r>
              <w:rPr>
                <w:rFonts w:hint="eastAsia" w:ascii="微软雅黑" w:hAnsi="微软雅黑" w:eastAsia="微软雅黑"/>
                <w:sz w:val="24"/>
              </w:rPr>
              <w:t>本项目所签订合同按广州市政府采购合同模板拟订，一式六份，由双方共同管理，各份合同必须一致并签名盖公章，具有同等效力。</w:t>
            </w:r>
          </w:p>
          <w:p>
            <w:pPr>
              <w:pStyle w:val="22"/>
              <w:ind w:firstLine="120" w:firstLineChars="50"/>
              <w:jc w:val="left"/>
              <w:rPr>
                <w:rFonts w:ascii="微软雅黑" w:hAnsi="微软雅黑" w:eastAsia="微软雅黑"/>
                <w:b/>
                <w:sz w:val="24"/>
                <w:szCs w:val="24"/>
              </w:rPr>
            </w:pPr>
            <w:r>
              <w:rPr>
                <w:rFonts w:hint="eastAsia" w:ascii="微软雅黑" w:hAnsi="微软雅黑" w:eastAsia="微软雅黑"/>
                <w:b/>
                <w:sz w:val="24"/>
                <w:szCs w:val="24"/>
              </w:rPr>
              <w:t>(七)项目信息管理</w:t>
            </w:r>
          </w:p>
          <w:p>
            <w:pPr>
              <w:pStyle w:val="14"/>
              <w:spacing w:line="360" w:lineRule="auto"/>
              <w:ind w:firstLine="480" w:firstLineChars="200"/>
              <w:rPr>
                <w:rFonts w:ascii="微软雅黑" w:hAnsi="微软雅黑" w:eastAsia="微软雅黑"/>
                <w:sz w:val="24"/>
              </w:rPr>
            </w:pPr>
            <w:r>
              <w:rPr>
                <w:rFonts w:hint="eastAsia" w:ascii="微软雅黑" w:hAnsi="微软雅黑" w:eastAsia="微软雅黑"/>
                <w:sz w:val="24"/>
              </w:rPr>
              <w:t>本项目信息按照项目具体建设方案以及招标文件所定,投标人对项目信息具有保密义务，驻场人员需要签订保密协议，未经采购人允许不能随意拷贝或传播项目信息，如造成严重后果需要追求其责任。</w:t>
            </w:r>
          </w:p>
          <w:p>
            <w:pPr>
              <w:pStyle w:val="22"/>
              <w:ind w:firstLine="120" w:firstLineChars="50"/>
              <w:jc w:val="left"/>
              <w:rPr>
                <w:rFonts w:ascii="微软雅黑" w:hAnsi="微软雅黑" w:eastAsia="微软雅黑"/>
                <w:b/>
                <w:sz w:val="24"/>
                <w:szCs w:val="24"/>
              </w:rPr>
            </w:pPr>
            <w:r>
              <w:rPr>
                <w:rFonts w:hint="eastAsia" w:ascii="微软雅黑" w:hAnsi="微软雅黑" w:eastAsia="微软雅黑"/>
                <w:b/>
                <w:sz w:val="24"/>
                <w:szCs w:val="24"/>
              </w:rPr>
              <w:t>(八) 项目文件的管理</w:t>
            </w:r>
          </w:p>
          <w:p>
            <w:pPr>
              <w:pStyle w:val="14"/>
              <w:spacing w:line="360" w:lineRule="auto"/>
              <w:ind w:firstLine="480" w:firstLineChars="200"/>
              <w:rPr>
                <w:rFonts w:ascii="微软雅黑" w:hAnsi="微软雅黑" w:eastAsia="微软雅黑"/>
                <w:sz w:val="24"/>
              </w:rPr>
            </w:pPr>
            <w:r>
              <w:rPr>
                <w:rFonts w:hint="eastAsia" w:ascii="微软雅黑" w:hAnsi="微软雅黑" w:eastAsia="微软雅黑"/>
                <w:sz w:val="24"/>
              </w:rPr>
              <w:t>本项目的文件分为一般性文件，过程文件和验收文件，所有项目文件必须真实有效，部分文件需要留存纸质版本并由采购人归档保管，留存查验和审计。</w:t>
            </w:r>
          </w:p>
          <w:p>
            <w:pPr>
              <w:pStyle w:val="22"/>
              <w:ind w:firstLine="0" w:firstLineChars="0"/>
              <w:jc w:val="left"/>
              <w:rPr>
                <w:rFonts w:ascii="微软雅黑" w:hAnsi="微软雅黑" w:eastAsia="微软雅黑"/>
                <w:b/>
                <w:sz w:val="24"/>
                <w:szCs w:val="24"/>
              </w:rPr>
            </w:pPr>
            <w:r>
              <w:rPr>
                <w:rFonts w:hint="eastAsia" w:ascii="微软雅黑" w:hAnsi="微软雅黑" w:eastAsia="微软雅黑"/>
                <w:b/>
                <w:sz w:val="24"/>
                <w:szCs w:val="24"/>
              </w:rPr>
              <w:t>（九）项目安全的管理</w:t>
            </w:r>
          </w:p>
          <w:p>
            <w:pPr>
              <w:pStyle w:val="22"/>
              <w:ind w:firstLine="552" w:firstLineChars="230"/>
              <w:jc w:val="left"/>
              <w:rPr>
                <w:rFonts w:ascii="微软雅黑" w:hAnsi="微软雅黑" w:eastAsia="微软雅黑"/>
                <w:sz w:val="24"/>
                <w:szCs w:val="24"/>
              </w:rPr>
            </w:pPr>
            <w:r>
              <w:rPr>
                <w:rFonts w:hint="eastAsia" w:ascii="微软雅黑" w:hAnsi="微软雅黑" w:eastAsia="微软雅黑"/>
                <w:sz w:val="24"/>
                <w:szCs w:val="24"/>
              </w:rPr>
              <w:t>本项目安全分为合同执行安全、工程师安全和运维安全，项目安全管理由双方共同负责。</w:t>
            </w:r>
          </w:p>
          <w:p>
            <w:pPr>
              <w:pStyle w:val="22"/>
              <w:ind w:firstLine="0" w:firstLineChars="0"/>
              <w:jc w:val="left"/>
              <w:rPr>
                <w:rFonts w:ascii="微软雅黑" w:hAnsi="微软雅黑" w:eastAsia="微软雅黑"/>
                <w:b/>
                <w:sz w:val="24"/>
                <w:szCs w:val="24"/>
              </w:rPr>
            </w:pPr>
            <w:r>
              <w:rPr>
                <w:rFonts w:hint="eastAsia" w:ascii="微软雅黑" w:hAnsi="微软雅黑" w:eastAsia="微软雅黑"/>
                <w:b/>
                <w:sz w:val="24"/>
                <w:szCs w:val="24"/>
              </w:rPr>
              <w:t>（十）知识产权的管理</w:t>
            </w:r>
          </w:p>
          <w:p>
            <w:pPr>
              <w:pStyle w:val="22"/>
              <w:ind w:firstLine="480"/>
              <w:jc w:val="left"/>
              <w:rPr>
                <w:rFonts w:ascii="微软雅黑" w:hAnsi="微软雅黑" w:eastAsia="微软雅黑"/>
                <w:sz w:val="24"/>
                <w:szCs w:val="24"/>
              </w:rPr>
            </w:pPr>
            <w:r>
              <w:rPr>
                <w:rFonts w:hint="eastAsia" w:ascii="微软雅黑" w:hAnsi="微软雅黑" w:eastAsia="微软雅黑"/>
                <w:sz w:val="24"/>
                <w:szCs w:val="24"/>
              </w:rPr>
              <w:t>1.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pPr>
              <w:pStyle w:val="22"/>
              <w:ind w:firstLine="480"/>
              <w:jc w:val="left"/>
              <w:rPr>
                <w:rFonts w:ascii="微软雅黑" w:hAnsi="微软雅黑" w:eastAsia="微软雅黑"/>
                <w:sz w:val="24"/>
                <w:szCs w:val="24"/>
              </w:rPr>
            </w:pPr>
            <w:r>
              <w:rPr>
                <w:rFonts w:hint="eastAsia" w:ascii="微软雅黑" w:hAnsi="微软雅黑" w:eastAsia="微软雅黑"/>
                <w:sz w:val="24"/>
                <w:szCs w:val="24"/>
              </w:rPr>
              <w:t>2.投标报价应包含所有应向所有权人支付的专利权、商标权或其它知识产权的一切相关费用。</w:t>
            </w:r>
          </w:p>
          <w:p>
            <w:pPr>
              <w:pStyle w:val="22"/>
              <w:ind w:firstLine="0" w:firstLineChars="0"/>
              <w:jc w:val="left"/>
              <w:rPr>
                <w:rFonts w:ascii="微软雅黑" w:hAnsi="微软雅黑" w:eastAsia="微软雅黑"/>
                <w:sz w:val="24"/>
                <w:szCs w:val="24"/>
              </w:rPr>
            </w:pPr>
            <w:r>
              <w:rPr>
                <w:rFonts w:hint="eastAsia" w:ascii="微软雅黑" w:hAnsi="微软雅黑" w:eastAsia="微软雅黑"/>
                <w:sz w:val="24"/>
                <w:szCs w:val="24"/>
              </w:rPr>
              <w:t xml:space="preserve">    3.系统软件、通用软件必须是具有在中国境内的合法使用权或版权的正版软件，涉及到第三方提出侵权或知识产权的起诉及支付版税等费用由投标人承担所有责任及费用。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微软雅黑" w:hAnsi="微软雅黑" w:eastAsia="微软雅黑"/>
                <w:sz w:val="24"/>
              </w:rPr>
            </w:pPr>
            <w:r>
              <w:rPr>
                <w:rFonts w:hint="eastAsia" w:ascii="微软雅黑" w:hAnsi="微软雅黑" w:eastAsia="微软雅黑" w:cs="宋体"/>
                <w:sz w:val="24"/>
              </w:rPr>
              <w:t>对运维单位的要求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outlineLvl w:val="1"/>
              <w:rPr>
                <w:rFonts w:ascii="微软雅黑" w:hAnsi="微软雅黑" w:eastAsia="微软雅黑"/>
                <w:b/>
                <w:sz w:val="24"/>
              </w:rPr>
            </w:pPr>
            <w:r>
              <w:rPr>
                <w:rFonts w:hint="eastAsia" w:ascii="微软雅黑" w:hAnsi="微软雅黑" w:eastAsia="微软雅黑"/>
                <w:b/>
                <w:sz w:val="24"/>
              </w:rPr>
              <w:t>（一）对运维机构的管理架构要求</w:t>
            </w:r>
          </w:p>
          <w:p>
            <w:pPr>
              <w:spacing w:line="360" w:lineRule="auto"/>
              <w:ind w:right="-53" w:firstLine="430"/>
              <w:rPr>
                <w:rFonts w:ascii="微软雅黑" w:hAnsi="微软雅黑" w:eastAsia="微软雅黑"/>
                <w:sz w:val="24"/>
              </w:rPr>
            </w:pPr>
            <w:r>
              <w:rPr>
                <w:rFonts w:hint="eastAsia" w:ascii="微软雅黑" w:hAnsi="微软雅黑" w:eastAsia="微软雅黑"/>
                <w:sz w:val="24"/>
              </w:rPr>
              <w:t>运维机构管理架构需要由1名中级工程师和1名</w:t>
            </w:r>
            <w:r>
              <w:rPr>
                <w:rFonts w:hint="eastAsia" w:ascii="微软雅黑" w:hAnsi="微软雅黑" w:eastAsia="微软雅黑" w:cs="仿宋_GB2312"/>
                <w:kern w:val="0"/>
                <w:sz w:val="24"/>
              </w:rPr>
              <w:t>普通工程师（包括日常支持和重大活动技术支持）及</w:t>
            </w:r>
            <w:r>
              <w:rPr>
                <w:rFonts w:hint="eastAsia" w:ascii="微软雅黑" w:hAnsi="微软雅黑" w:eastAsia="微软雅黑"/>
                <w:sz w:val="24"/>
              </w:rPr>
              <w:t>服务质量管理监控组组成。采购人有权对运维人员进行为期1~2周的考核，如考核不通过，运维单位必须无条件更换运维人员。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outlineLvl w:val="1"/>
              <w:rPr>
                <w:rFonts w:ascii="微软雅黑" w:hAnsi="微软雅黑" w:eastAsia="微软雅黑"/>
                <w:sz w:val="24"/>
              </w:rPr>
            </w:pPr>
            <w:r>
              <w:rPr>
                <w:rFonts w:hint="eastAsia" w:ascii="微软雅黑" w:hAnsi="微软雅黑" w:eastAsia="微软雅黑"/>
                <w:sz w:val="24"/>
              </w:rPr>
              <w:t>（二）对运维单位的人员要求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gridSpan w:val="2"/>
          </w:tcPr>
          <w:p>
            <w:pPr>
              <w:spacing w:line="360" w:lineRule="auto"/>
              <w:ind w:right="-53"/>
              <w:jc w:val="center"/>
              <w:rPr>
                <w:rFonts w:ascii="微软雅黑" w:hAnsi="微软雅黑" w:eastAsia="微软雅黑" w:cs="Arial"/>
                <w:sz w:val="24"/>
              </w:rPr>
            </w:pPr>
            <w:r>
              <w:rPr>
                <w:rFonts w:hint="eastAsia" w:ascii="微软雅黑" w:hAnsi="微软雅黑" w:eastAsia="微软雅黑" w:cs="Arial"/>
                <w:sz w:val="24"/>
              </w:rPr>
              <w:t>人员类别</w:t>
            </w:r>
          </w:p>
        </w:tc>
        <w:tc>
          <w:tcPr>
            <w:tcW w:w="978" w:type="dxa"/>
          </w:tcPr>
          <w:p>
            <w:pPr>
              <w:spacing w:line="360" w:lineRule="auto"/>
              <w:ind w:right="-53"/>
              <w:jc w:val="center"/>
              <w:rPr>
                <w:rFonts w:ascii="微软雅黑" w:hAnsi="微软雅黑" w:eastAsia="微软雅黑" w:cs="Arial"/>
                <w:sz w:val="24"/>
              </w:rPr>
            </w:pPr>
            <w:r>
              <w:rPr>
                <w:rFonts w:hint="eastAsia" w:ascii="微软雅黑" w:hAnsi="微软雅黑" w:eastAsia="微软雅黑" w:cs="Arial"/>
                <w:sz w:val="24"/>
              </w:rPr>
              <w:t>数量</w:t>
            </w:r>
          </w:p>
        </w:tc>
        <w:tc>
          <w:tcPr>
            <w:tcW w:w="5103" w:type="dxa"/>
            <w:gridSpan w:val="2"/>
          </w:tcPr>
          <w:p>
            <w:pPr>
              <w:spacing w:line="360" w:lineRule="auto"/>
              <w:ind w:right="-53"/>
              <w:jc w:val="center"/>
              <w:rPr>
                <w:rFonts w:ascii="微软雅黑" w:hAnsi="微软雅黑" w:eastAsia="微软雅黑" w:cs="Arial"/>
                <w:sz w:val="24"/>
              </w:rPr>
            </w:pPr>
            <w:r>
              <w:rPr>
                <w:rFonts w:hint="eastAsia" w:ascii="微软雅黑" w:hAnsi="微软雅黑" w:eastAsia="微软雅黑" w:cs="Arial"/>
                <w:sz w:val="24"/>
              </w:rPr>
              <w:t>人员要求</w:t>
            </w:r>
          </w:p>
        </w:tc>
        <w:tc>
          <w:tcPr>
            <w:tcW w:w="2021" w:type="dxa"/>
          </w:tcPr>
          <w:p>
            <w:pPr>
              <w:spacing w:line="360" w:lineRule="auto"/>
              <w:ind w:right="-53"/>
              <w:jc w:val="center"/>
              <w:rPr>
                <w:rFonts w:ascii="微软雅黑" w:hAnsi="微软雅黑" w:eastAsia="微软雅黑" w:cs="Arial"/>
                <w:sz w:val="24"/>
              </w:rPr>
            </w:pPr>
            <w:r>
              <w:rPr>
                <w:rFonts w:hint="eastAsia" w:ascii="仿宋_GB2312" w:hAnsi="宋体" w:eastAsia="仿宋_GB2312" w:cs="宋体"/>
                <w:kern w:val="0"/>
                <w:sz w:val="24"/>
              </w:rPr>
              <w:t>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gridSpan w:val="2"/>
          </w:tcPr>
          <w:p>
            <w:pPr>
              <w:tabs>
                <w:tab w:val="center" w:pos="655"/>
              </w:tabs>
              <w:spacing w:line="360" w:lineRule="auto"/>
              <w:ind w:right="-53"/>
              <w:jc w:val="center"/>
              <w:rPr>
                <w:rFonts w:ascii="微软雅黑" w:hAnsi="微软雅黑" w:eastAsia="微软雅黑" w:cs="Arial"/>
                <w:sz w:val="24"/>
              </w:rPr>
            </w:pPr>
          </w:p>
          <w:p>
            <w:pPr>
              <w:tabs>
                <w:tab w:val="center" w:pos="655"/>
              </w:tabs>
              <w:spacing w:line="360" w:lineRule="auto"/>
              <w:ind w:right="-53"/>
              <w:jc w:val="center"/>
              <w:rPr>
                <w:rFonts w:ascii="微软雅黑" w:hAnsi="微软雅黑" w:eastAsia="微软雅黑" w:cs="Arial"/>
                <w:sz w:val="24"/>
              </w:rPr>
            </w:pPr>
          </w:p>
          <w:p>
            <w:pPr>
              <w:tabs>
                <w:tab w:val="center" w:pos="655"/>
              </w:tabs>
              <w:spacing w:line="360" w:lineRule="auto"/>
              <w:ind w:right="-53"/>
              <w:jc w:val="center"/>
              <w:rPr>
                <w:rFonts w:ascii="微软雅黑" w:hAnsi="微软雅黑" w:eastAsia="微软雅黑" w:cs="Arial"/>
                <w:sz w:val="24"/>
              </w:rPr>
            </w:pPr>
            <w:r>
              <w:rPr>
                <w:rFonts w:hint="eastAsia" w:ascii="微软雅黑" w:hAnsi="微软雅黑" w:eastAsia="微软雅黑" w:cs="Arial"/>
                <w:sz w:val="24"/>
              </w:rPr>
              <w:t>中级工程师</w:t>
            </w:r>
          </w:p>
        </w:tc>
        <w:tc>
          <w:tcPr>
            <w:tcW w:w="978" w:type="dxa"/>
          </w:tcPr>
          <w:p>
            <w:pPr>
              <w:spacing w:line="360" w:lineRule="auto"/>
              <w:ind w:right="-53"/>
              <w:jc w:val="center"/>
              <w:rPr>
                <w:rFonts w:ascii="微软雅黑" w:hAnsi="微软雅黑" w:eastAsia="微软雅黑" w:cs="Arial"/>
                <w:sz w:val="24"/>
              </w:rPr>
            </w:pPr>
            <w:r>
              <w:rPr>
                <w:rFonts w:hint="eastAsia" w:ascii="微软雅黑" w:hAnsi="微软雅黑" w:eastAsia="微软雅黑" w:cs="Arial"/>
                <w:sz w:val="24"/>
              </w:rPr>
              <w:t>1</w:t>
            </w:r>
          </w:p>
        </w:tc>
        <w:tc>
          <w:tcPr>
            <w:tcW w:w="5103" w:type="dxa"/>
            <w:gridSpan w:val="2"/>
          </w:tcPr>
          <w:p>
            <w:pPr>
              <w:pStyle w:val="17"/>
              <w:spacing w:line="360" w:lineRule="auto"/>
              <w:ind w:firstLine="420" w:firstLineChars="200"/>
            </w:pPr>
            <w:r>
              <w:rPr>
                <w:rFonts w:hint="eastAsia"/>
              </w:rPr>
              <w:t>在本岗位上至少有五年以上工作经验，大专以上学历，计算机相关专业。熟悉PC技术原理和整体架构、常用操作系统及软件，具有一定的网络维护服务能力，具有一定服务器维护服务能力，具有网络工程师、CCNP、HCIP同等或以上证书。</w:t>
            </w:r>
          </w:p>
        </w:tc>
        <w:tc>
          <w:tcPr>
            <w:tcW w:w="2021" w:type="dxa"/>
          </w:tcPr>
          <w:p>
            <w:pPr>
              <w:spacing w:line="360" w:lineRule="auto"/>
              <w:ind w:right="-53"/>
              <w:rPr>
                <w:rFonts w:ascii="微软雅黑" w:hAnsi="微软雅黑" w:cs="Arial"/>
                <w:sz w:val="24"/>
              </w:rPr>
            </w:pPr>
            <w:r>
              <w:rPr>
                <w:rFonts w:hint="eastAsia" w:ascii="Calibri" w:hAnsi="Calibri"/>
                <w:szCs w:val="22"/>
              </w:rPr>
              <w:t>市规划和自然资源局花都区分局办公大楼、各规划和自然资源所、局驻政务大厅的办事处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26" w:type="dxa"/>
            <w:gridSpan w:val="2"/>
            <w:vAlign w:val="center"/>
          </w:tcPr>
          <w:p>
            <w:pPr>
              <w:spacing w:line="360" w:lineRule="auto"/>
              <w:ind w:right="-53"/>
              <w:jc w:val="center"/>
              <w:rPr>
                <w:rFonts w:ascii="微软雅黑" w:hAnsi="微软雅黑" w:eastAsia="微软雅黑"/>
                <w:sz w:val="24"/>
              </w:rPr>
            </w:pPr>
            <w:r>
              <w:rPr>
                <w:rFonts w:hint="eastAsia" w:ascii="微软雅黑" w:hAnsi="微软雅黑" w:eastAsia="微软雅黑"/>
                <w:sz w:val="24"/>
              </w:rPr>
              <w:t>普通工程师</w:t>
            </w:r>
          </w:p>
        </w:tc>
        <w:tc>
          <w:tcPr>
            <w:tcW w:w="978" w:type="dxa"/>
            <w:vAlign w:val="center"/>
          </w:tcPr>
          <w:p>
            <w:pPr>
              <w:spacing w:line="360" w:lineRule="auto"/>
              <w:ind w:right="-53"/>
              <w:jc w:val="center"/>
              <w:rPr>
                <w:rFonts w:ascii="微软雅黑" w:hAnsi="微软雅黑" w:eastAsia="微软雅黑"/>
                <w:sz w:val="24"/>
              </w:rPr>
            </w:pPr>
            <w:r>
              <w:rPr>
                <w:rFonts w:hint="eastAsia" w:ascii="微软雅黑" w:hAnsi="微软雅黑" w:eastAsia="微软雅黑"/>
                <w:sz w:val="24"/>
              </w:rPr>
              <w:t>1</w:t>
            </w:r>
          </w:p>
        </w:tc>
        <w:tc>
          <w:tcPr>
            <w:tcW w:w="5103" w:type="dxa"/>
            <w:gridSpan w:val="2"/>
            <w:vAlign w:val="center"/>
          </w:tcPr>
          <w:p>
            <w:pPr>
              <w:spacing w:line="360" w:lineRule="auto"/>
              <w:ind w:right="-53" w:firstLine="430"/>
              <w:rPr>
                <w:rFonts w:ascii="微软雅黑" w:hAnsi="微软雅黑" w:eastAsia="微软雅黑"/>
                <w:sz w:val="24"/>
              </w:rPr>
            </w:pPr>
            <w:r>
              <w:rPr>
                <w:rFonts w:hint="eastAsia"/>
              </w:rPr>
              <w:t>在本岗位上至少有三年以上工作经验，大专以上学历，计算机相关专业。熟悉PC技术原理和整体架构、常用操作系统及软件，具有一定的网络维护服务能力，提供相应的资质证明。</w:t>
            </w:r>
          </w:p>
        </w:tc>
        <w:tc>
          <w:tcPr>
            <w:tcW w:w="2021" w:type="dxa"/>
            <w:vAlign w:val="center"/>
          </w:tcPr>
          <w:p>
            <w:pPr>
              <w:spacing w:line="360" w:lineRule="auto"/>
              <w:ind w:right="-53"/>
              <w:rPr>
                <w:rFonts w:ascii="微软雅黑" w:hAnsi="微软雅黑" w:eastAsia="微软雅黑"/>
                <w:sz w:val="24"/>
              </w:rPr>
            </w:pPr>
            <w:r>
              <w:rPr>
                <w:rFonts w:hint="eastAsia" w:ascii="Calibri" w:hAnsi="Calibri"/>
                <w:szCs w:val="22"/>
              </w:rPr>
              <w:t>市规划和自然资源局花都区分局办公大楼、各规划和自然资源所、局驻政务大厅的办事处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numPr>
                <w:ilvl w:val="0"/>
                <w:numId w:val="7"/>
              </w:numPr>
              <w:spacing w:line="360" w:lineRule="auto"/>
              <w:outlineLvl w:val="1"/>
              <w:rPr>
                <w:rFonts w:ascii="微软雅黑" w:hAnsi="微软雅黑" w:eastAsia="微软雅黑"/>
                <w:sz w:val="24"/>
              </w:rPr>
            </w:pPr>
            <w:r>
              <w:rPr>
                <w:rFonts w:hint="eastAsia" w:ascii="微软雅黑" w:hAnsi="微软雅黑" w:eastAsia="微软雅黑"/>
                <w:sz w:val="24"/>
              </w:rPr>
              <w:t>对运维单位的设备投入要求</w:t>
            </w:r>
          </w:p>
          <w:p>
            <w:pPr>
              <w:spacing w:line="360" w:lineRule="auto"/>
              <w:ind w:right="-53" w:firstLine="430"/>
              <w:rPr>
                <w:rFonts w:ascii="微软雅黑" w:hAnsi="微软雅黑" w:eastAsia="微软雅黑"/>
                <w:sz w:val="24"/>
              </w:rPr>
            </w:pPr>
            <w:r>
              <w:rPr>
                <w:rFonts w:hint="eastAsia" w:ascii="微软雅黑" w:hAnsi="微软雅黑" w:eastAsia="微软雅黑"/>
                <w:sz w:val="24"/>
              </w:rPr>
              <w:t>按照招标内容和运维需求，运维单位需要提供相对应的相关运维工具设备，如工程师日常使用笔记本电脑、常用检测工具、信息设备配件备件等。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微软雅黑" w:hAnsi="微软雅黑" w:eastAsia="微软雅黑" w:cs="宋体"/>
                <w:sz w:val="24"/>
              </w:rPr>
            </w:pPr>
            <w:bookmarkStart w:id="15" w:name="_Toc405900443"/>
            <w:r>
              <w:rPr>
                <w:rFonts w:hint="eastAsia" w:ascii="微软雅黑" w:hAnsi="微软雅黑" w:eastAsia="微软雅黑" w:cs="宋体"/>
                <w:sz w:val="24"/>
              </w:rPr>
              <w:t>服务响应要求</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pStyle w:val="3"/>
              <w:numPr>
                <w:ilvl w:val="0"/>
                <w:numId w:val="8"/>
              </w:numPr>
              <w:rPr>
                <w:rFonts w:ascii="微软雅黑" w:hAnsi="微软雅黑" w:eastAsia="微软雅黑"/>
                <w:szCs w:val="24"/>
                <w:lang w:val="zh-CN"/>
              </w:rPr>
            </w:pPr>
            <w:r>
              <w:rPr>
                <w:rFonts w:hint="eastAsia" w:ascii="微软雅黑" w:hAnsi="微软雅黑" w:eastAsia="微软雅黑"/>
              </w:rPr>
              <w:t>影响到业务正常开展的故障，</w:t>
            </w:r>
            <w:r>
              <w:rPr>
                <w:rFonts w:hint="eastAsia" w:ascii="微软雅黑" w:hAnsi="微软雅黑" w:eastAsia="微软雅黑" w:cs="Arial"/>
                <w:u w:val="single"/>
              </w:rPr>
              <w:t xml:space="preserve"> 20 </w:t>
            </w:r>
            <w:r>
              <w:rPr>
                <w:rFonts w:hint="eastAsia" w:ascii="微软雅黑" w:hAnsi="微软雅黑" w:eastAsia="微软雅黑"/>
              </w:rPr>
              <w:t>分钟内到达现场，</w:t>
            </w:r>
            <w:r>
              <w:rPr>
                <w:rFonts w:hint="eastAsia" w:ascii="微软雅黑" w:hAnsi="微软雅黑" w:eastAsia="微软雅黑" w:cs="Arial"/>
                <w:u w:val="single"/>
              </w:rPr>
              <w:t xml:space="preserve"> 30 </w:t>
            </w:r>
            <w:r>
              <w:rPr>
                <w:rFonts w:hint="eastAsia" w:ascii="微软雅黑" w:hAnsi="微软雅黑" w:eastAsia="微软雅黑"/>
              </w:rPr>
              <w:t>分钟内报告采购方主管负责人，</w:t>
            </w:r>
            <w:r>
              <w:rPr>
                <w:rFonts w:hint="eastAsia" w:ascii="微软雅黑" w:hAnsi="微软雅黑" w:eastAsia="微软雅黑" w:cs="Arial"/>
                <w:u w:val="single"/>
              </w:rPr>
              <w:t xml:space="preserve"> 1 </w:t>
            </w:r>
            <w:r>
              <w:rPr>
                <w:rFonts w:hint="eastAsia" w:ascii="微软雅黑" w:hAnsi="微软雅黑" w:eastAsia="微软雅黑"/>
              </w:rPr>
              <w:t>小时内安排资源解决。如不能解决，需要二线技术人员提供现场技术支持服务，最迟在</w:t>
            </w:r>
            <w:r>
              <w:rPr>
                <w:rFonts w:hint="eastAsia" w:ascii="微软雅黑" w:hAnsi="微软雅黑" w:eastAsia="微软雅黑" w:cs="Arial"/>
                <w:u w:val="single"/>
              </w:rPr>
              <w:t xml:space="preserve"> 2 </w:t>
            </w:r>
            <w:r>
              <w:rPr>
                <w:rFonts w:hint="eastAsia" w:ascii="微软雅黑" w:hAnsi="微软雅黑" w:eastAsia="微软雅黑"/>
              </w:rPr>
              <w:t>小时内解决问题。在故障解决过程中，保持每</w:t>
            </w:r>
            <w:r>
              <w:rPr>
                <w:rFonts w:hint="eastAsia" w:ascii="微软雅黑" w:hAnsi="微软雅黑" w:eastAsia="微软雅黑" w:cs="Arial"/>
                <w:u w:val="single"/>
              </w:rPr>
              <w:t xml:space="preserve"> 0.5 </w:t>
            </w:r>
            <w:r>
              <w:rPr>
                <w:rFonts w:hint="eastAsia" w:ascii="微软雅黑" w:hAnsi="微软雅黑" w:eastAsia="微软雅黑"/>
              </w:rPr>
              <w:t>小时内1次与客户进行情况汇报。</w:t>
            </w:r>
          </w:p>
          <w:p>
            <w:pPr>
              <w:pStyle w:val="3"/>
              <w:numPr>
                <w:ilvl w:val="0"/>
                <w:numId w:val="8"/>
              </w:numPr>
              <w:rPr>
                <w:rFonts w:ascii="微软雅黑" w:hAnsi="微软雅黑" w:eastAsia="微软雅黑"/>
                <w:szCs w:val="24"/>
                <w:lang w:val="zh-CN"/>
              </w:rPr>
            </w:pPr>
            <w:r>
              <w:rPr>
                <w:rFonts w:hint="eastAsia" w:ascii="微软雅黑" w:hAnsi="微软雅黑" w:eastAsia="微软雅黑"/>
              </w:rPr>
              <w:t>不影响业务正常开展的故障，</w:t>
            </w:r>
            <w:r>
              <w:rPr>
                <w:rFonts w:hint="eastAsia" w:ascii="微软雅黑" w:hAnsi="微软雅黑" w:eastAsia="微软雅黑" w:cs="Arial"/>
                <w:u w:val="single"/>
              </w:rPr>
              <w:t xml:space="preserve"> 30 </w:t>
            </w:r>
            <w:r>
              <w:rPr>
                <w:rFonts w:hint="eastAsia" w:ascii="微软雅黑" w:hAnsi="微软雅黑" w:eastAsia="微软雅黑"/>
              </w:rPr>
              <w:t>分钟内到达现场，</w:t>
            </w:r>
            <w:r>
              <w:rPr>
                <w:rFonts w:hint="eastAsia" w:ascii="微软雅黑" w:hAnsi="微软雅黑" w:eastAsia="微软雅黑" w:cs="Arial"/>
                <w:u w:val="single"/>
              </w:rPr>
              <w:t xml:space="preserve"> 1 </w:t>
            </w:r>
            <w:r>
              <w:rPr>
                <w:rFonts w:hint="eastAsia" w:ascii="微软雅黑" w:hAnsi="微软雅黑" w:eastAsia="微软雅黑"/>
              </w:rPr>
              <w:t>小时内报告采购方主管负责人，</w:t>
            </w:r>
            <w:r>
              <w:rPr>
                <w:rFonts w:hint="eastAsia" w:ascii="微软雅黑" w:hAnsi="微软雅黑" w:eastAsia="微软雅黑" w:cs="Arial"/>
                <w:u w:val="single"/>
              </w:rPr>
              <w:t xml:space="preserve"> 2 </w:t>
            </w:r>
            <w:r>
              <w:rPr>
                <w:rFonts w:hint="eastAsia" w:ascii="微软雅黑" w:hAnsi="微软雅黑" w:eastAsia="微软雅黑"/>
              </w:rPr>
              <w:t>个工作日内解决。</w:t>
            </w:r>
          </w:p>
          <w:p>
            <w:pPr>
              <w:pStyle w:val="3"/>
              <w:numPr>
                <w:ilvl w:val="0"/>
                <w:numId w:val="8"/>
              </w:numPr>
              <w:rPr>
                <w:rFonts w:ascii="微软雅黑" w:hAnsi="微软雅黑" w:eastAsia="微软雅黑"/>
                <w:szCs w:val="24"/>
                <w:lang w:val="zh-CN"/>
              </w:rPr>
            </w:pPr>
            <w:r>
              <w:rPr>
                <w:rFonts w:hint="eastAsia" w:ascii="微软雅黑" w:hAnsi="微软雅黑" w:eastAsia="微软雅黑" w:cs="Arial"/>
              </w:rPr>
              <w:t>各镇街规划和自然资源所故障,</w:t>
            </w:r>
            <w:r>
              <w:rPr>
                <w:rFonts w:hint="eastAsia" w:ascii="微软雅黑" w:hAnsi="微软雅黑" w:eastAsia="微软雅黑" w:cs="Arial"/>
                <w:u w:val="single"/>
              </w:rPr>
              <w:t xml:space="preserve"> 3 </w:t>
            </w:r>
            <w:r>
              <w:rPr>
                <w:rFonts w:hint="eastAsia" w:ascii="微软雅黑" w:hAnsi="微软雅黑" w:eastAsia="微软雅黑"/>
              </w:rPr>
              <w:t>小时内到达现场，</w:t>
            </w:r>
            <w:r>
              <w:rPr>
                <w:rFonts w:hint="eastAsia" w:ascii="微软雅黑" w:hAnsi="微软雅黑" w:eastAsia="微软雅黑" w:cs="Arial"/>
                <w:u w:val="single"/>
              </w:rPr>
              <w:t xml:space="preserve"> 4 </w:t>
            </w:r>
            <w:r>
              <w:rPr>
                <w:rFonts w:hint="eastAsia" w:ascii="微软雅黑" w:hAnsi="微软雅黑" w:eastAsia="微软雅黑"/>
              </w:rPr>
              <w:t>小时内报告采购方主管负责人，</w:t>
            </w:r>
            <w:r>
              <w:rPr>
                <w:rFonts w:hint="eastAsia" w:ascii="微软雅黑" w:hAnsi="微软雅黑" w:eastAsia="微软雅黑" w:cs="Arial"/>
                <w:u w:val="single"/>
              </w:rPr>
              <w:t xml:space="preserve"> 2 </w:t>
            </w:r>
            <w:r>
              <w:rPr>
                <w:rFonts w:hint="eastAsia" w:ascii="微软雅黑" w:hAnsi="微软雅黑" w:eastAsia="微软雅黑"/>
              </w:rPr>
              <w:t>个工作日内解决。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微软雅黑" w:hAnsi="微软雅黑" w:eastAsia="微软雅黑" w:cs="宋体"/>
                <w:sz w:val="24"/>
              </w:rPr>
            </w:pPr>
            <w:r>
              <w:rPr>
                <w:rFonts w:hint="eastAsia" w:ascii="微软雅黑" w:hAnsi="微软雅黑" w:eastAsia="微软雅黑" w:cs="宋体"/>
                <w:sz w:val="24"/>
              </w:rPr>
              <w:t>项目考核要求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628" w:type="dxa"/>
            <w:gridSpan w:val="6"/>
            <w:vAlign w:val="center"/>
          </w:tcPr>
          <w:p>
            <w:pPr>
              <w:numPr>
                <w:ilvl w:val="0"/>
                <w:numId w:val="9"/>
              </w:numPr>
              <w:spacing w:line="360" w:lineRule="auto"/>
              <w:outlineLvl w:val="1"/>
              <w:rPr>
                <w:rFonts w:ascii="微软雅黑" w:hAnsi="微软雅黑" w:eastAsia="微软雅黑"/>
                <w:sz w:val="24"/>
              </w:rPr>
            </w:pPr>
            <w:r>
              <w:rPr>
                <w:rFonts w:hint="eastAsia" w:ascii="微软雅黑" w:hAnsi="微软雅黑" w:eastAsia="微软雅黑"/>
                <w:sz w:val="24"/>
              </w:rPr>
              <w:t>总体要求</w:t>
            </w:r>
          </w:p>
          <w:p>
            <w:pPr>
              <w:spacing w:line="360" w:lineRule="auto"/>
              <w:ind w:firstLine="560"/>
              <w:rPr>
                <w:rFonts w:ascii="微软雅黑" w:hAnsi="微软雅黑" w:eastAsia="微软雅黑"/>
                <w:sz w:val="24"/>
              </w:rPr>
            </w:pPr>
            <w:r>
              <w:rPr>
                <w:rFonts w:hint="eastAsia" w:ascii="微软雅黑" w:hAnsi="微软雅黑" w:eastAsia="微软雅黑" w:cs="宋体"/>
                <w:kern w:val="0"/>
                <w:sz w:val="24"/>
              </w:rPr>
              <w:t>项目考核由采购人负责进行，考核必须公开公正，考核内容和标准必须按照合同要求，对合同内规定的运维内容进行逐一考核并打分，考核结果由双方共同签字盖章确认。</w:t>
            </w:r>
          </w:p>
          <w:p>
            <w:pPr>
              <w:numPr>
                <w:ilvl w:val="0"/>
                <w:numId w:val="9"/>
              </w:numPr>
              <w:spacing w:line="360" w:lineRule="auto"/>
              <w:outlineLvl w:val="1"/>
              <w:rPr>
                <w:rFonts w:ascii="微软雅黑" w:hAnsi="微软雅黑" w:eastAsia="微软雅黑"/>
                <w:sz w:val="24"/>
              </w:rPr>
            </w:pPr>
            <w:bookmarkStart w:id="16" w:name="_Toc329157457"/>
            <w:bookmarkStart w:id="17" w:name="_Toc334177053"/>
            <w:r>
              <w:rPr>
                <w:rFonts w:hint="eastAsia" w:ascii="微软雅黑" w:hAnsi="微软雅黑" w:eastAsia="微软雅黑"/>
                <w:sz w:val="24"/>
              </w:rPr>
              <w:t>绩效评估</w:t>
            </w:r>
            <w:bookmarkEnd w:id="16"/>
            <w:bookmarkEnd w:id="17"/>
          </w:p>
          <w:p>
            <w:pPr>
              <w:spacing w:line="360" w:lineRule="auto"/>
              <w:ind w:firstLine="560"/>
              <w:rPr>
                <w:rFonts w:ascii="微软雅黑" w:hAnsi="微软雅黑" w:eastAsia="微软雅黑" w:cs="仿宋_GB2312"/>
                <w:kern w:val="0"/>
                <w:sz w:val="24"/>
              </w:rPr>
            </w:pPr>
            <w:r>
              <w:rPr>
                <w:rFonts w:hint="eastAsia" w:ascii="微软雅黑" w:hAnsi="微软雅黑" w:eastAsia="微软雅黑" w:cs="仿宋_GB2312"/>
                <w:kern w:val="0"/>
                <w:sz w:val="24"/>
              </w:rPr>
              <w:t>绩效评估主要指标：考核总分=常规服务评分×60% + 非常规服务评分×40%；质量评价：优（120分）、良（100分）、中（80分）、可（60分）、差（40分）。</w:t>
            </w:r>
          </w:p>
          <w:p>
            <w:pPr>
              <w:spacing w:line="360" w:lineRule="auto"/>
              <w:ind w:firstLine="560"/>
              <w:rPr>
                <w:rFonts w:ascii="微软雅黑" w:hAnsi="微软雅黑" w:eastAsia="微软雅黑" w:cs="仿宋_GB2312"/>
                <w:kern w:val="0"/>
                <w:sz w:val="24"/>
              </w:rPr>
            </w:pPr>
            <w:r>
              <w:rPr>
                <w:rFonts w:hint="eastAsia" w:ascii="微软雅黑" w:hAnsi="微软雅黑" w:eastAsia="微软雅黑" w:cs="仿宋_GB2312"/>
                <w:kern w:val="0"/>
                <w:sz w:val="24"/>
              </w:rPr>
              <w:t>从以下方面考察，评价分为：</w:t>
            </w:r>
          </w:p>
          <w:p>
            <w:pPr>
              <w:spacing w:line="360" w:lineRule="auto"/>
              <w:ind w:firstLine="560"/>
              <w:rPr>
                <w:rFonts w:ascii="微软雅黑" w:hAnsi="微软雅黑" w:eastAsia="微软雅黑" w:cs="仿宋_GB2312"/>
                <w:kern w:val="0"/>
                <w:sz w:val="24"/>
              </w:rPr>
            </w:pPr>
            <w:r>
              <w:rPr>
                <w:rFonts w:hint="eastAsia" w:ascii="微软雅黑" w:hAnsi="微软雅黑" w:eastAsia="微软雅黑" w:cs="仿宋_GB2312"/>
                <w:kern w:val="0"/>
                <w:sz w:val="24"/>
              </w:rPr>
              <w:t>特别满足（符合处理时限且响应速度快，120分）</w:t>
            </w:r>
          </w:p>
          <w:p>
            <w:pPr>
              <w:spacing w:line="360" w:lineRule="auto"/>
              <w:ind w:firstLine="560"/>
              <w:rPr>
                <w:rFonts w:ascii="微软雅黑" w:hAnsi="微软雅黑" w:eastAsia="微软雅黑" w:cs="仿宋_GB2312"/>
                <w:kern w:val="0"/>
                <w:sz w:val="24"/>
              </w:rPr>
            </w:pPr>
            <w:r>
              <w:rPr>
                <w:rFonts w:hint="eastAsia" w:ascii="微软雅黑" w:hAnsi="微软雅黑" w:eastAsia="微软雅黑" w:cs="仿宋_GB2312"/>
                <w:kern w:val="0"/>
                <w:sz w:val="24"/>
              </w:rPr>
              <w:t>满足（符合关于处理时限的要求，100分）</w:t>
            </w:r>
          </w:p>
          <w:p>
            <w:pPr>
              <w:spacing w:line="360" w:lineRule="auto"/>
              <w:ind w:firstLine="560"/>
              <w:rPr>
                <w:rFonts w:ascii="微软雅黑" w:hAnsi="微软雅黑" w:eastAsia="微软雅黑" w:cs="仿宋_GB2312"/>
                <w:kern w:val="0"/>
                <w:sz w:val="24"/>
              </w:rPr>
            </w:pPr>
            <w:r>
              <w:rPr>
                <w:rFonts w:hint="eastAsia" w:ascii="微软雅黑" w:hAnsi="微软雅黑" w:eastAsia="微软雅黑" w:cs="仿宋_GB2312"/>
                <w:kern w:val="0"/>
                <w:sz w:val="24"/>
              </w:rPr>
              <w:t>不满足（不符合处理时限，但延迟时间还在用户方认定的忍受范围内，60分）</w:t>
            </w:r>
          </w:p>
          <w:p>
            <w:pPr>
              <w:spacing w:line="360" w:lineRule="auto"/>
              <w:ind w:firstLine="560"/>
              <w:rPr>
                <w:rFonts w:ascii="微软雅黑" w:hAnsi="微软雅黑" w:eastAsia="微软雅黑" w:cs="仿宋_GB2312"/>
                <w:kern w:val="0"/>
                <w:sz w:val="24"/>
              </w:rPr>
            </w:pPr>
            <w:r>
              <w:rPr>
                <w:rFonts w:hint="eastAsia" w:ascii="微软雅黑" w:hAnsi="微软雅黑" w:eastAsia="微软雅黑" w:cs="仿宋_GB2312"/>
                <w:kern w:val="0"/>
                <w:sz w:val="24"/>
              </w:rPr>
              <w:t>严重延迟（延迟60分钟以上，30分）</w:t>
            </w:r>
          </w:p>
          <w:p>
            <w:pPr>
              <w:spacing w:line="360" w:lineRule="auto"/>
              <w:outlineLvl w:val="1"/>
              <w:rPr>
                <w:rFonts w:ascii="微软雅黑" w:hAnsi="微软雅黑" w:eastAsia="微软雅黑"/>
                <w:sz w:val="24"/>
              </w:rPr>
            </w:pPr>
            <w:r>
              <w:rPr>
                <w:rFonts w:hint="eastAsia" w:ascii="微软雅黑" w:hAnsi="微软雅黑" w:eastAsia="微软雅黑" w:cs="宋体"/>
                <w:kern w:val="0"/>
                <w:sz w:val="24"/>
              </w:rPr>
              <w:t>绩效评估评分结果与合同款支付挂钩。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微软雅黑" w:hAnsi="微软雅黑" w:eastAsia="微软雅黑"/>
                <w:sz w:val="24"/>
              </w:rPr>
            </w:pPr>
            <w:r>
              <w:rPr>
                <w:rFonts w:hint="eastAsia" w:ascii="微软雅黑" w:hAnsi="微软雅黑" w:eastAsia="微软雅黑" w:cs="宋体"/>
                <w:sz w:val="24"/>
              </w:rPr>
              <w:t>测试与验收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ind w:firstLine="480" w:firstLineChars="200"/>
              <w:rPr>
                <w:rFonts w:ascii="微软雅黑" w:hAnsi="微软雅黑" w:eastAsia="微软雅黑" w:cs="宋体"/>
                <w:kern w:val="0"/>
                <w:sz w:val="24"/>
              </w:rPr>
            </w:pPr>
            <w:r>
              <w:rPr>
                <w:rFonts w:hint="eastAsia" w:ascii="微软雅黑" w:hAnsi="微软雅黑" w:eastAsia="微软雅黑" w:cs="宋体"/>
                <w:kern w:val="0"/>
                <w:sz w:val="24"/>
              </w:rPr>
              <w:t>项目验收主要指标：本项目验收属于项目的合同验收，应符合广州市信息化项目相关验收管理办法的要求。</w:t>
            </w:r>
          </w:p>
          <w:p>
            <w:pPr>
              <w:spacing w:line="360" w:lineRule="auto"/>
              <w:ind w:firstLine="480" w:firstLineChars="200"/>
              <w:rPr>
                <w:rFonts w:ascii="微软雅黑" w:hAnsi="微软雅黑" w:eastAsia="微软雅黑" w:cs="宋体"/>
                <w:kern w:val="0"/>
                <w:sz w:val="24"/>
              </w:rPr>
            </w:pPr>
            <w:r>
              <w:rPr>
                <w:rFonts w:hint="eastAsia" w:ascii="微软雅黑" w:hAnsi="微软雅黑" w:eastAsia="微软雅黑" w:cs="宋体"/>
                <w:kern w:val="0"/>
                <w:sz w:val="24"/>
              </w:rPr>
              <w:t>同时应遵循下列标准：</w:t>
            </w:r>
          </w:p>
          <w:p>
            <w:pPr>
              <w:spacing w:line="360" w:lineRule="auto"/>
              <w:ind w:firstLine="480" w:firstLineChars="200"/>
              <w:rPr>
                <w:rFonts w:ascii="微软雅黑" w:hAnsi="微软雅黑" w:eastAsia="微软雅黑" w:cs="宋体"/>
                <w:kern w:val="0"/>
                <w:sz w:val="24"/>
              </w:rPr>
            </w:pPr>
            <w:r>
              <w:rPr>
                <w:rFonts w:hint="eastAsia" w:ascii="微软雅黑" w:hAnsi="微软雅黑" w:eastAsia="微软雅黑" w:cs="宋体"/>
                <w:kern w:val="0"/>
                <w:sz w:val="24"/>
              </w:rPr>
              <w:t>1.满足合同和招标文件中列举的全部要求；</w:t>
            </w:r>
          </w:p>
          <w:p>
            <w:pPr>
              <w:spacing w:line="360" w:lineRule="auto"/>
              <w:ind w:firstLine="480" w:firstLineChars="200"/>
              <w:rPr>
                <w:rFonts w:ascii="微软雅黑" w:hAnsi="微软雅黑" w:eastAsia="微软雅黑" w:cs="宋体"/>
                <w:kern w:val="0"/>
                <w:sz w:val="24"/>
              </w:rPr>
            </w:pPr>
            <w:r>
              <w:rPr>
                <w:rFonts w:hint="eastAsia" w:ascii="微软雅黑" w:hAnsi="微软雅黑" w:eastAsia="微软雅黑" w:cs="宋体"/>
                <w:kern w:val="0"/>
                <w:sz w:val="24"/>
              </w:rPr>
              <w:t>2.实现合同和招标文件中列举的全部功能；</w:t>
            </w:r>
          </w:p>
          <w:p>
            <w:pPr>
              <w:spacing w:line="360" w:lineRule="auto"/>
              <w:ind w:firstLine="480" w:firstLineChars="200"/>
              <w:rPr>
                <w:rFonts w:ascii="微软雅黑" w:hAnsi="微软雅黑" w:eastAsia="微软雅黑" w:cs="宋体"/>
                <w:kern w:val="0"/>
                <w:sz w:val="24"/>
              </w:rPr>
            </w:pPr>
            <w:r>
              <w:rPr>
                <w:rFonts w:hint="eastAsia" w:ascii="微软雅黑" w:hAnsi="微软雅黑" w:eastAsia="微软雅黑" w:cs="宋体"/>
                <w:kern w:val="0"/>
                <w:sz w:val="24"/>
              </w:rPr>
              <w:t>3.达到合同和招标文件中列举的全部指标；</w:t>
            </w:r>
          </w:p>
          <w:p>
            <w:pPr>
              <w:spacing w:line="360" w:lineRule="auto"/>
              <w:ind w:firstLine="480" w:firstLineChars="200"/>
              <w:rPr>
                <w:rFonts w:ascii="微软雅黑" w:hAnsi="微软雅黑" w:eastAsia="微软雅黑" w:cs="宋体"/>
                <w:kern w:val="0"/>
                <w:sz w:val="24"/>
              </w:rPr>
            </w:pPr>
            <w:r>
              <w:rPr>
                <w:rFonts w:hint="eastAsia" w:ascii="微软雅黑" w:hAnsi="微软雅黑" w:eastAsia="微软雅黑" w:cs="宋体"/>
                <w:kern w:val="0"/>
                <w:sz w:val="24"/>
              </w:rPr>
              <w:t>4.由采购人和投标人双方共同成立项目测试组，对系统实际运行情况进行测试，项目验收由专家组负责；</w:t>
            </w:r>
          </w:p>
          <w:p>
            <w:pPr>
              <w:spacing w:line="360" w:lineRule="auto"/>
              <w:rPr>
                <w:rFonts w:ascii="微软雅黑" w:hAnsi="微软雅黑" w:eastAsia="微软雅黑" w:cs="宋体"/>
                <w:sz w:val="24"/>
              </w:rPr>
            </w:pPr>
            <w:r>
              <w:rPr>
                <w:rFonts w:hint="eastAsia" w:ascii="微软雅黑" w:hAnsi="微软雅黑" w:eastAsia="微软雅黑" w:cs="宋体"/>
                <w:kern w:val="0"/>
                <w:sz w:val="24"/>
              </w:rPr>
              <w:t>5.验收项目包括按照合同和招标文件中所标明的服务内容，及相关的技术维护文档、培训教材、使用说明书等。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微软雅黑" w:hAnsi="微软雅黑" w:eastAsia="微软雅黑"/>
                <w:sz w:val="24"/>
              </w:rPr>
            </w:pPr>
            <w:r>
              <w:rPr>
                <w:rFonts w:hint="eastAsia" w:ascii="微软雅黑" w:hAnsi="微软雅黑" w:eastAsia="微软雅黑" w:cs="宋体"/>
                <w:sz w:val="24"/>
              </w:rPr>
              <w:t>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8" w:hRule="atLeast"/>
          <w:jc w:val="center"/>
        </w:trPr>
        <w:tc>
          <w:tcPr>
            <w:tcW w:w="9628" w:type="dxa"/>
            <w:gridSpan w:val="6"/>
            <w:vAlign w:val="center"/>
          </w:tcPr>
          <w:p>
            <w:pPr>
              <w:numPr>
                <w:ilvl w:val="0"/>
                <w:numId w:val="10"/>
              </w:numPr>
              <w:spacing w:line="360" w:lineRule="auto"/>
              <w:outlineLvl w:val="1"/>
              <w:rPr>
                <w:rFonts w:ascii="微软雅黑" w:hAnsi="微软雅黑" w:eastAsia="微软雅黑"/>
                <w:sz w:val="24"/>
              </w:rPr>
            </w:pPr>
            <w:bookmarkStart w:id="18" w:name="_Toc317973771"/>
            <w:bookmarkStart w:id="19" w:name="_Toc173830632"/>
            <w:bookmarkStart w:id="20" w:name="_Toc203534316"/>
            <w:bookmarkStart w:id="21" w:name="_Toc130888339"/>
            <w:bookmarkStart w:id="22" w:name="_Toc133653781"/>
            <w:bookmarkStart w:id="23" w:name="_Toc160611411"/>
            <w:bookmarkStart w:id="24" w:name="_Toc213472581"/>
            <w:bookmarkStart w:id="25" w:name="_Toc200540147"/>
            <w:bookmarkStart w:id="26" w:name="_Toc153682297"/>
            <w:bookmarkStart w:id="27" w:name="_Toc153656598"/>
            <w:bookmarkStart w:id="28" w:name="_Toc246231365"/>
            <w:bookmarkStart w:id="29" w:name="_Toc176084451"/>
            <w:bookmarkStart w:id="30" w:name="_Toc357522403"/>
            <w:bookmarkStart w:id="31" w:name="_Toc405900447"/>
            <w:bookmarkStart w:id="32" w:name="_Toc173843270"/>
            <w:bookmarkStart w:id="33" w:name="_Toc173843945"/>
            <w:bookmarkStart w:id="34" w:name="_Toc173830529"/>
            <w:bookmarkStart w:id="35" w:name="_Toc203188579"/>
            <w:bookmarkStart w:id="36" w:name="_Toc212956826"/>
            <w:bookmarkStart w:id="37" w:name="_Toc203984989"/>
            <w:r>
              <w:rPr>
                <w:rFonts w:hint="eastAsia" w:ascii="微软雅黑" w:hAnsi="微软雅黑" w:eastAsia="微软雅黑"/>
                <w:sz w:val="24"/>
              </w:rPr>
              <w:t>目的</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pPr>
              <w:pStyle w:val="8"/>
              <w:spacing w:after="0" w:line="360" w:lineRule="auto"/>
              <w:rPr>
                <w:rFonts w:ascii="微软雅黑" w:hAnsi="微软雅黑" w:eastAsia="微软雅黑"/>
                <w:sz w:val="24"/>
                <w:szCs w:val="24"/>
              </w:rPr>
            </w:pPr>
            <w:r>
              <w:rPr>
                <w:rFonts w:hint="eastAsia" w:ascii="微软雅黑" w:hAnsi="微软雅黑" w:eastAsia="微软雅黑"/>
                <w:sz w:val="24"/>
                <w:szCs w:val="24"/>
              </w:rPr>
              <w:t>使之能够顺利地实施项目咨询、体系建设和更好地配合和理解运维体系和流程；使采购人掌握对信息化系统的使用及维护。</w:t>
            </w:r>
          </w:p>
          <w:p>
            <w:pPr>
              <w:numPr>
                <w:ilvl w:val="0"/>
                <w:numId w:val="10"/>
              </w:numPr>
              <w:spacing w:line="360" w:lineRule="auto"/>
              <w:outlineLvl w:val="1"/>
              <w:rPr>
                <w:rFonts w:ascii="微软雅黑" w:hAnsi="微软雅黑" w:eastAsia="微软雅黑"/>
                <w:sz w:val="24"/>
              </w:rPr>
            </w:pPr>
            <w:bookmarkStart w:id="38" w:name="_Toc173830633"/>
            <w:bookmarkStart w:id="39" w:name="_Toc133653782"/>
            <w:bookmarkStart w:id="40" w:name="_Toc173843946"/>
            <w:bookmarkStart w:id="41" w:name="_Toc160611412"/>
            <w:bookmarkStart w:id="42" w:name="_Toc173830530"/>
            <w:bookmarkStart w:id="43" w:name="_Toc173843271"/>
            <w:bookmarkStart w:id="44" w:name="_Toc153656599"/>
            <w:bookmarkStart w:id="45" w:name="_Toc153682298"/>
            <w:bookmarkStart w:id="46" w:name="_Toc317973772"/>
            <w:bookmarkStart w:id="47" w:name="_Toc405900448"/>
            <w:bookmarkStart w:id="48" w:name="_Toc246231366"/>
            <w:bookmarkStart w:id="49" w:name="_Toc203188580"/>
            <w:bookmarkStart w:id="50" w:name="_Toc200540148"/>
            <w:bookmarkStart w:id="51" w:name="_Toc203984990"/>
            <w:bookmarkStart w:id="52" w:name="_Toc176084452"/>
            <w:bookmarkStart w:id="53" w:name="_Toc212956827"/>
            <w:bookmarkStart w:id="54" w:name="_Toc203534317"/>
            <w:bookmarkStart w:id="55" w:name="_Toc213472582"/>
            <w:bookmarkStart w:id="56" w:name="_Toc357522404"/>
            <w:r>
              <w:rPr>
                <w:rFonts w:hint="eastAsia" w:ascii="微软雅黑" w:hAnsi="微软雅黑" w:eastAsia="微软雅黑"/>
                <w:sz w:val="24"/>
              </w:rPr>
              <w:t>培训</w:t>
            </w:r>
            <w:bookmarkEnd w:id="38"/>
            <w:bookmarkEnd w:id="39"/>
            <w:bookmarkEnd w:id="40"/>
            <w:bookmarkEnd w:id="41"/>
            <w:bookmarkEnd w:id="42"/>
            <w:bookmarkEnd w:id="43"/>
            <w:bookmarkEnd w:id="44"/>
            <w:bookmarkEnd w:id="45"/>
            <w:r>
              <w:rPr>
                <w:rFonts w:hint="eastAsia" w:ascii="微软雅黑" w:hAnsi="微软雅黑" w:eastAsia="微软雅黑"/>
                <w:sz w:val="24"/>
              </w:rPr>
              <w:t>要求</w:t>
            </w:r>
            <w:bookmarkEnd w:id="46"/>
            <w:bookmarkEnd w:id="47"/>
            <w:bookmarkEnd w:id="48"/>
            <w:bookmarkEnd w:id="49"/>
            <w:bookmarkEnd w:id="50"/>
            <w:bookmarkEnd w:id="51"/>
            <w:bookmarkEnd w:id="52"/>
            <w:bookmarkEnd w:id="53"/>
            <w:bookmarkEnd w:id="54"/>
            <w:bookmarkEnd w:id="55"/>
            <w:bookmarkEnd w:id="56"/>
          </w:p>
          <w:p>
            <w:pPr>
              <w:pStyle w:val="8"/>
              <w:spacing w:after="0" w:line="360" w:lineRule="auto"/>
              <w:rPr>
                <w:rFonts w:ascii="微软雅黑" w:hAnsi="微软雅黑" w:eastAsia="微软雅黑"/>
                <w:sz w:val="24"/>
                <w:szCs w:val="24"/>
              </w:rPr>
            </w:pPr>
            <w:r>
              <w:rPr>
                <w:rFonts w:hint="eastAsia" w:ascii="微软雅黑" w:hAnsi="微软雅黑" w:eastAsia="微软雅黑"/>
                <w:sz w:val="24"/>
                <w:szCs w:val="24"/>
              </w:rPr>
              <w:t>对系统管理员进行充分的技术培训，保证管理人员掌握必要的技术、管理工具，通晓管理规范。</w:t>
            </w:r>
          </w:p>
          <w:p>
            <w:pPr>
              <w:numPr>
                <w:ilvl w:val="0"/>
                <w:numId w:val="10"/>
              </w:numPr>
              <w:spacing w:line="360" w:lineRule="auto"/>
              <w:outlineLvl w:val="1"/>
              <w:rPr>
                <w:rFonts w:ascii="微软雅黑" w:hAnsi="微软雅黑" w:eastAsia="微软雅黑"/>
                <w:sz w:val="24"/>
              </w:rPr>
            </w:pPr>
            <w:bookmarkStart w:id="57" w:name="_Toc357522405"/>
            <w:bookmarkStart w:id="58" w:name="_Toc203534318"/>
            <w:bookmarkStart w:id="59" w:name="_Toc203188581"/>
            <w:bookmarkStart w:id="60" w:name="_Toc405900449"/>
            <w:bookmarkStart w:id="61" w:name="_Toc246231367"/>
            <w:bookmarkStart w:id="62" w:name="_Toc212956828"/>
            <w:bookmarkStart w:id="63" w:name="_Toc200540149"/>
            <w:bookmarkStart w:id="64" w:name="_Toc317973773"/>
            <w:bookmarkStart w:id="65" w:name="_Toc213472583"/>
            <w:bookmarkStart w:id="66" w:name="_Toc203984991"/>
            <w:r>
              <w:rPr>
                <w:rFonts w:hint="eastAsia" w:ascii="微软雅黑" w:hAnsi="微软雅黑" w:eastAsia="微软雅黑"/>
                <w:sz w:val="24"/>
              </w:rPr>
              <w:t>培训师资</w:t>
            </w:r>
            <w:bookmarkEnd w:id="57"/>
            <w:bookmarkEnd w:id="58"/>
            <w:bookmarkEnd w:id="59"/>
            <w:bookmarkEnd w:id="60"/>
            <w:bookmarkEnd w:id="61"/>
            <w:bookmarkEnd w:id="62"/>
            <w:bookmarkEnd w:id="63"/>
            <w:bookmarkEnd w:id="64"/>
            <w:bookmarkEnd w:id="65"/>
            <w:bookmarkEnd w:id="66"/>
          </w:p>
          <w:p>
            <w:pPr>
              <w:pStyle w:val="8"/>
              <w:spacing w:line="360" w:lineRule="auto"/>
              <w:rPr>
                <w:rFonts w:ascii="微软雅黑" w:hAnsi="微软雅黑" w:eastAsia="微软雅黑"/>
                <w:sz w:val="24"/>
                <w:szCs w:val="24"/>
              </w:rPr>
            </w:pPr>
            <w:r>
              <w:rPr>
                <w:rFonts w:hint="eastAsia" w:ascii="微软雅黑" w:hAnsi="微软雅黑" w:eastAsia="微软雅黑"/>
                <w:sz w:val="24"/>
                <w:szCs w:val="24"/>
              </w:rPr>
              <w:t>成交供应商派出具有相应专业资格和实际工作经验的教师和相应的辅导人才，主要的培训教员均获得相应的资格认证并且具有</w:t>
            </w:r>
            <w:r>
              <w:rPr>
                <w:rFonts w:hint="eastAsia" w:ascii="微软雅黑" w:hAnsi="微软雅黑" w:eastAsia="微软雅黑" w:cs="Arial"/>
                <w:sz w:val="24"/>
                <w:szCs w:val="24"/>
                <w:u w:val="single"/>
              </w:rPr>
              <w:t xml:space="preserve">  2 </w:t>
            </w:r>
            <w:r>
              <w:rPr>
                <w:rFonts w:hint="eastAsia" w:ascii="微软雅黑" w:hAnsi="微软雅黑" w:eastAsia="微软雅黑"/>
                <w:sz w:val="24"/>
                <w:szCs w:val="24"/>
              </w:rPr>
              <w:t>年的实际教学经验。培训使用的语言和教材均为中文。</w:t>
            </w:r>
          </w:p>
          <w:p>
            <w:pPr>
              <w:numPr>
                <w:ilvl w:val="0"/>
                <w:numId w:val="10"/>
              </w:numPr>
              <w:spacing w:line="360" w:lineRule="auto"/>
              <w:outlineLvl w:val="1"/>
              <w:rPr>
                <w:rFonts w:ascii="微软雅黑" w:hAnsi="微软雅黑" w:eastAsia="微软雅黑"/>
                <w:sz w:val="24"/>
              </w:rPr>
            </w:pPr>
            <w:bookmarkStart w:id="67" w:name="_Toc357522406"/>
            <w:bookmarkStart w:id="68" w:name="_Toc200540150"/>
            <w:bookmarkStart w:id="69" w:name="_Toc203188582"/>
            <w:bookmarkStart w:id="70" w:name="_Toc212956829"/>
            <w:bookmarkStart w:id="71" w:name="_Toc176084454"/>
            <w:bookmarkStart w:id="72" w:name="_Toc203984992"/>
            <w:bookmarkStart w:id="73" w:name="_Toc246231368"/>
            <w:bookmarkStart w:id="74" w:name="_Toc405900450"/>
            <w:bookmarkStart w:id="75" w:name="_Toc317973774"/>
            <w:bookmarkStart w:id="76" w:name="_Toc203534319"/>
            <w:bookmarkStart w:id="77" w:name="_Toc213472584"/>
            <w:r>
              <w:rPr>
                <w:rFonts w:hint="eastAsia" w:ascii="微软雅黑" w:hAnsi="微软雅黑" w:eastAsia="微软雅黑"/>
                <w:sz w:val="24"/>
              </w:rPr>
              <w:t>个人应用培训</w:t>
            </w:r>
            <w:bookmarkEnd w:id="67"/>
            <w:bookmarkEnd w:id="68"/>
            <w:bookmarkEnd w:id="69"/>
            <w:bookmarkEnd w:id="70"/>
            <w:bookmarkEnd w:id="71"/>
            <w:bookmarkEnd w:id="72"/>
            <w:bookmarkEnd w:id="73"/>
            <w:bookmarkEnd w:id="74"/>
            <w:bookmarkEnd w:id="75"/>
            <w:bookmarkEnd w:id="76"/>
            <w:bookmarkEnd w:id="77"/>
          </w:p>
          <w:p>
            <w:pPr>
              <w:pStyle w:val="8"/>
              <w:spacing w:after="0" w:line="360" w:lineRule="auto"/>
              <w:rPr>
                <w:rFonts w:ascii="微软雅黑" w:hAnsi="微软雅黑" w:eastAsia="微软雅黑"/>
                <w:sz w:val="24"/>
                <w:szCs w:val="24"/>
              </w:rPr>
            </w:pPr>
            <w:r>
              <w:rPr>
                <w:rFonts w:hint="eastAsia" w:ascii="微软雅黑" w:hAnsi="微软雅黑" w:eastAsia="微软雅黑"/>
                <w:sz w:val="24"/>
                <w:szCs w:val="24"/>
              </w:rPr>
              <w:t>成交供应商在运维服务过程中将根据采购人终端用户服务申请情况予以分类，进行个人应用培训，培训周期：至少每</w:t>
            </w:r>
            <w:r>
              <w:rPr>
                <w:rFonts w:hint="eastAsia" w:ascii="微软雅黑" w:hAnsi="微软雅黑" w:eastAsia="微软雅黑" w:cs="Arial"/>
                <w:sz w:val="24"/>
                <w:szCs w:val="24"/>
                <w:u w:val="single"/>
              </w:rPr>
              <w:t xml:space="preserve">  6  </w:t>
            </w:r>
            <w:r>
              <w:rPr>
                <w:rFonts w:hint="eastAsia" w:ascii="微软雅黑" w:hAnsi="微软雅黑" w:eastAsia="微软雅黑"/>
                <w:sz w:val="24"/>
                <w:szCs w:val="24"/>
              </w:rPr>
              <w:t>个月一次。</w:t>
            </w:r>
          </w:p>
          <w:p>
            <w:pPr>
              <w:numPr>
                <w:ilvl w:val="0"/>
                <w:numId w:val="10"/>
              </w:numPr>
              <w:spacing w:line="360" w:lineRule="auto"/>
              <w:outlineLvl w:val="1"/>
              <w:rPr>
                <w:rFonts w:ascii="微软雅黑" w:hAnsi="微软雅黑" w:eastAsia="微软雅黑"/>
                <w:sz w:val="24"/>
              </w:rPr>
            </w:pPr>
            <w:bookmarkStart w:id="78" w:name="_Toc176084455"/>
            <w:bookmarkStart w:id="79" w:name="_Toc213472585"/>
            <w:bookmarkStart w:id="80" w:name="_Toc203534320"/>
            <w:bookmarkStart w:id="81" w:name="_Toc200540151"/>
            <w:bookmarkStart w:id="82" w:name="_Toc203984993"/>
            <w:bookmarkStart w:id="83" w:name="_Toc212956830"/>
            <w:bookmarkStart w:id="84" w:name="_Toc246231369"/>
            <w:bookmarkStart w:id="85" w:name="_Toc317973775"/>
            <w:bookmarkStart w:id="86" w:name="_Toc357522407"/>
            <w:bookmarkStart w:id="87" w:name="_Toc203188583"/>
            <w:bookmarkStart w:id="88" w:name="_Toc405900451"/>
            <w:r>
              <w:rPr>
                <w:rFonts w:hint="eastAsia" w:ascii="微软雅黑" w:hAnsi="微软雅黑" w:eastAsia="微软雅黑"/>
                <w:sz w:val="24"/>
              </w:rPr>
              <w:t>费用</w:t>
            </w:r>
            <w:bookmarkEnd w:id="78"/>
            <w:bookmarkEnd w:id="79"/>
            <w:bookmarkEnd w:id="80"/>
            <w:bookmarkEnd w:id="81"/>
            <w:bookmarkEnd w:id="82"/>
            <w:bookmarkEnd w:id="83"/>
            <w:bookmarkEnd w:id="84"/>
            <w:bookmarkEnd w:id="85"/>
            <w:bookmarkEnd w:id="86"/>
            <w:bookmarkEnd w:id="87"/>
            <w:bookmarkEnd w:id="88"/>
          </w:p>
          <w:p>
            <w:pPr>
              <w:pStyle w:val="8"/>
              <w:spacing w:line="360" w:lineRule="auto"/>
              <w:rPr>
                <w:rFonts w:ascii="微软雅黑" w:hAnsi="微软雅黑" w:eastAsia="微软雅黑"/>
                <w:sz w:val="24"/>
                <w:szCs w:val="24"/>
              </w:rPr>
            </w:pPr>
            <w:r>
              <w:rPr>
                <w:rFonts w:hint="eastAsia" w:ascii="微软雅黑" w:hAnsi="微软雅黑" w:eastAsia="微软雅黑"/>
                <w:sz w:val="24"/>
                <w:szCs w:val="24"/>
              </w:rPr>
              <w:t>供应商应将所有培训费用（含培训教材费）及各项支出费用分别报价并计入响应总价。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8" w:type="dxa"/>
            <w:gridSpan w:val="6"/>
            <w:vAlign w:val="center"/>
          </w:tcPr>
          <w:p>
            <w:pPr>
              <w:spacing w:line="360" w:lineRule="auto"/>
              <w:rPr>
                <w:rFonts w:ascii="微软雅黑" w:hAnsi="微软雅黑" w:eastAsia="微软雅黑"/>
                <w:sz w:val="24"/>
              </w:rPr>
            </w:pPr>
            <w:r>
              <w:rPr>
                <w:rFonts w:hint="eastAsia" w:ascii="微软雅黑" w:hAnsi="微软雅黑" w:eastAsia="微软雅黑" w:cs="宋体"/>
                <w:sz w:val="24"/>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628" w:type="dxa"/>
            <w:gridSpan w:val="6"/>
            <w:vAlign w:val="center"/>
          </w:tcPr>
          <w:p>
            <w:pPr>
              <w:spacing w:line="500" w:lineRule="exact"/>
              <w:ind w:firstLine="566" w:firstLineChars="236"/>
              <w:rPr>
                <w:rFonts w:ascii="微软雅黑" w:hAnsi="微软雅黑" w:eastAsia="微软雅黑" w:cstheme="minorBidi"/>
                <w:sz w:val="24"/>
              </w:rPr>
            </w:pPr>
            <w:r>
              <w:rPr>
                <w:rFonts w:hint="eastAsia" w:ascii="微软雅黑" w:hAnsi="微软雅黑" w:eastAsia="微软雅黑" w:cstheme="minorBidi"/>
                <w:sz w:val="24"/>
              </w:rPr>
              <w:t>1．自本合同签订起，服务期满</w:t>
            </w:r>
            <w:r>
              <w:rPr>
                <w:rFonts w:ascii="微软雅黑" w:hAnsi="微软雅黑" w:eastAsia="微软雅黑" w:cstheme="minorBidi"/>
                <w:sz w:val="24"/>
              </w:rPr>
              <w:t>6</w:t>
            </w:r>
            <w:r>
              <w:rPr>
                <w:rFonts w:hint="eastAsia" w:ascii="微软雅黑" w:hAnsi="微软雅黑" w:eastAsia="微软雅黑" w:cstheme="minorBidi"/>
                <w:sz w:val="24"/>
              </w:rPr>
              <w:t>个月后，在10个工作日内根据绩效评估等级确定的付款比例申请财政支付合同金额的</w:t>
            </w:r>
            <w:r>
              <w:rPr>
                <w:rFonts w:ascii="微软雅黑" w:hAnsi="微软雅黑" w:eastAsia="微软雅黑" w:cstheme="minorBidi"/>
                <w:sz w:val="24"/>
              </w:rPr>
              <w:t>50</w:t>
            </w:r>
            <w:r>
              <w:rPr>
                <w:rFonts w:hint="eastAsia" w:ascii="微软雅黑" w:hAnsi="微软雅黑" w:eastAsia="微软雅黑" w:cstheme="minorBidi"/>
                <w:sz w:val="24"/>
              </w:rPr>
              <w:t>%；</w:t>
            </w:r>
          </w:p>
          <w:p>
            <w:pPr>
              <w:spacing w:line="500" w:lineRule="exact"/>
              <w:ind w:firstLine="566" w:firstLineChars="236"/>
              <w:rPr>
                <w:rFonts w:ascii="微软雅黑" w:hAnsi="微软雅黑" w:eastAsia="微软雅黑" w:cstheme="minorBidi"/>
                <w:sz w:val="24"/>
              </w:rPr>
            </w:pPr>
            <w:r>
              <w:rPr>
                <w:rFonts w:ascii="微软雅黑" w:hAnsi="微软雅黑" w:eastAsia="微软雅黑" w:cstheme="minorBidi"/>
                <w:sz w:val="24"/>
              </w:rPr>
              <w:t>2</w:t>
            </w:r>
            <w:r>
              <w:rPr>
                <w:rFonts w:hint="eastAsia" w:ascii="微软雅黑" w:hAnsi="微软雅黑" w:eastAsia="微软雅黑" w:cstheme="minorBidi"/>
                <w:sz w:val="24"/>
              </w:rPr>
              <w:t>. 当服务期满并通过项目终验后，收到中标人开具的发票后15个工作日内，根据验收情况支付合同余额（合同总额的</w:t>
            </w:r>
            <w:r>
              <w:rPr>
                <w:rFonts w:ascii="微软雅黑" w:hAnsi="微软雅黑" w:eastAsia="微软雅黑" w:cstheme="minorBidi"/>
                <w:sz w:val="24"/>
              </w:rPr>
              <w:t>50</w:t>
            </w:r>
            <w:r>
              <w:rPr>
                <w:rFonts w:hint="eastAsia" w:ascii="微软雅黑" w:hAnsi="微软雅黑" w:eastAsia="微软雅黑" w:cstheme="minorBidi"/>
                <w:sz w:val="24"/>
              </w:rPr>
              <w:t>％）。</w:t>
            </w:r>
          </w:p>
          <w:p>
            <w:pPr>
              <w:spacing w:line="360" w:lineRule="auto"/>
              <w:jc w:val="left"/>
              <w:rPr>
                <w:rFonts w:ascii="微软雅黑" w:hAnsi="微软雅黑" w:eastAsia="微软雅黑"/>
                <w:sz w:val="24"/>
              </w:rPr>
            </w:pPr>
          </w:p>
        </w:tc>
      </w:tr>
      <w:bookmarkEnd w:id="0"/>
      <w:bookmarkEnd w:id="1"/>
      <w:bookmarkEnd w:id="2"/>
      <w:bookmarkEnd w:id="3"/>
      <w:bookmarkEnd w:id="4"/>
      <w:bookmarkEnd w:id="5"/>
      <w:bookmarkEnd w:id="6"/>
      <w:bookmarkEnd w:id="7"/>
    </w:tbl>
    <w:p/>
    <w:sectPr>
      <w:footerReference r:id="rId4" w:type="first"/>
      <w:footerReference r:id="rId3" w:type="default"/>
      <w:pgSz w:w="11907" w:h="16840"/>
      <w:pgMar w:top="1440" w:right="1080" w:bottom="1440" w:left="1080" w:header="737" w:footer="567"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21E76"/>
    <w:multiLevelType w:val="singleLevel"/>
    <w:tmpl w:val="F5321E76"/>
    <w:lvl w:ilvl="0" w:tentative="0">
      <w:start w:val="1"/>
      <w:numFmt w:val="decimal"/>
      <w:suff w:val="nothing"/>
      <w:lvlText w:val="（%1）"/>
      <w:lvlJc w:val="left"/>
    </w:lvl>
  </w:abstractNum>
  <w:abstractNum w:abstractNumId="1">
    <w:nsid w:val="181E7407"/>
    <w:multiLevelType w:val="multilevel"/>
    <w:tmpl w:val="181E7407"/>
    <w:lvl w:ilvl="0" w:tentative="0">
      <w:start w:val="3"/>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75007F"/>
    <w:multiLevelType w:val="multilevel"/>
    <w:tmpl w:val="1875007F"/>
    <w:lvl w:ilvl="0" w:tentative="0">
      <w:start w:val="1"/>
      <w:numFmt w:val="upp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473541C"/>
    <w:multiLevelType w:val="singleLevel"/>
    <w:tmpl w:val="5473541C"/>
    <w:lvl w:ilvl="0" w:tentative="0">
      <w:start w:val="1"/>
      <w:numFmt w:val="decimal"/>
      <w:suff w:val="nothing"/>
      <w:lvlText w:val="（%1）"/>
      <w:lvlJc w:val="left"/>
      <w:pPr>
        <w:ind w:left="0" w:firstLine="400"/>
      </w:pPr>
      <w:rPr>
        <w:rFonts w:hint="default"/>
      </w:rPr>
    </w:lvl>
  </w:abstractNum>
  <w:abstractNum w:abstractNumId="4">
    <w:nsid w:val="6AF4585F"/>
    <w:multiLevelType w:val="multilevel"/>
    <w:tmpl w:val="6AF4585F"/>
    <w:lvl w:ilvl="0" w:tentative="0">
      <w:start w:val="1"/>
      <w:numFmt w:val="chineseCountingThousand"/>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6F60E7"/>
    <w:multiLevelType w:val="multilevel"/>
    <w:tmpl w:val="6E6F60E7"/>
    <w:lvl w:ilvl="0" w:tentative="0">
      <w:start w:val="1"/>
      <w:numFmt w:val="decimal"/>
      <w:lvlText w:val="（%1）"/>
      <w:lvlJc w:val="left"/>
      <w:pPr>
        <w:tabs>
          <w:tab w:val="left" w:pos="900"/>
        </w:tabs>
        <w:ind w:left="900" w:hanging="420"/>
      </w:pPr>
      <w:rPr>
        <w:rFonts w:hint="default"/>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6">
    <w:nsid w:val="6E6F60EB"/>
    <w:multiLevelType w:val="multilevel"/>
    <w:tmpl w:val="6E6F60EB"/>
    <w:lvl w:ilvl="0" w:tentative="0">
      <w:start w:val="1"/>
      <w:numFmt w:val="lowerLetter"/>
      <w:lvlText w:val="%1)"/>
      <w:lvlJc w:val="left"/>
      <w:pPr>
        <w:ind w:left="900" w:hanging="420"/>
      </w:pPr>
    </w:lvl>
    <w:lvl w:ilvl="1" w:tentative="0">
      <w:start w:val="1"/>
      <w:numFmt w:val="lowerLetter"/>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764F016E"/>
    <w:multiLevelType w:val="multilevel"/>
    <w:tmpl w:val="764F016E"/>
    <w:lvl w:ilvl="0" w:tentative="0">
      <w:start w:val="1"/>
      <w:numFmt w:val="chineseCountingThousand"/>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DBC7C15"/>
    <w:multiLevelType w:val="multilevel"/>
    <w:tmpl w:val="7DBC7C1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EDB637F"/>
    <w:multiLevelType w:val="multilevel"/>
    <w:tmpl w:val="7EDB637F"/>
    <w:lvl w:ilvl="0" w:tentative="0">
      <w:start w:val="1"/>
      <w:numFmt w:val="bullet"/>
      <w:lvlText w:val=""/>
      <w:lvlJc w:val="righ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8"/>
  </w:num>
  <w:num w:numId="2">
    <w:abstractNumId w:val="0"/>
  </w:num>
  <w:num w:numId="3">
    <w:abstractNumId w:val="5"/>
  </w:num>
  <w:num w:numId="4">
    <w:abstractNumId w:val="6"/>
  </w:num>
  <w:num w:numId="5">
    <w:abstractNumId w:val="9"/>
  </w:num>
  <w:num w:numId="6">
    <w:abstractNumId w:val="2"/>
  </w:num>
  <w:num w:numId="7">
    <w:abstractNumId w:val="1"/>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693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spacing w:line="360" w:lineRule="auto"/>
      <w:ind w:left="181" w:firstLine="420"/>
    </w:pPr>
    <w:rPr>
      <w:rFonts w:asciiTheme="minorHAnsi" w:hAnsiTheme="minorHAnsi" w:eastAsiaTheme="minorEastAsia" w:cstheme="minorBidi"/>
      <w:sz w:val="24"/>
      <w:szCs w:val="22"/>
    </w:rPr>
  </w:style>
  <w:style w:type="paragraph" w:styleId="4">
    <w:name w:val="Body Text"/>
    <w:basedOn w:val="1"/>
    <w:semiHidden/>
    <w:unhideWhenUsed/>
    <w:qFormat/>
    <w:uiPriority w:val="99"/>
    <w:pPr>
      <w:spacing w:after="1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Cs w:val="22"/>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paragraph" w:styleId="8">
    <w:name w:val="Body Text First Indent"/>
    <w:basedOn w:val="4"/>
    <w:qFormat/>
    <w:uiPriority w:val="0"/>
    <w:pPr>
      <w:ind w:firstLine="420"/>
    </w:pPr>
    <w:rPr>
      <w:rFonts w:asciiTheme="minorHAnsi" w:hAnsiTheme="minorHAnsi" w:eastAsiaTheme="minorEastAsia" w:cstheme="minorBidi"/>
      <w:szCs w:val="22"/>
    </w:rPr>
  </w:style>
  <w:style w:type="paragraph" w:styleId="11">
    <w:name w:val="List Paragraph"/>
    <w:basedOn w:val="1"/>
    <w:qFormat/>
    <w:uiPriority w:val="0"/>
    <w:pPr>
      <w:ind w:firstLine="420" w:firstLineChars="200"/>
    </w:pPr>
    <w:rPr>
      <w:rFonts w:asciiTheme="minorHAnsi" w:hAnsiTheme="minorHAnsi" w:cstheme="minorBidi"/>
    </w:rPr>
  </w:style>
  <w:style w:type="character" w:customStyle="1" w:styleId="12">
    <w:name w:val="p141"/>
    <w:qFormat/>
    <w:uiPriority w:val="0"/>
    <w:rPr>
      <w:sz w:val="21"/>
      <w:szCs w:val="21"/>
    </w:rPr>
  </w:style>
  <w:style w:type="paragraph" w:customStyle="1" w:styleId="13">
    <w:name w:val="标题 1_0"/>
    <w:basedOn w:val="1"/>
    <w:next w:val="1"/>
    <w:qFormat/>
    <w:uiPriority w:val="0"/>
    <w:pPr>
      <w:keepNext/>
      <w:keepLines/>
      <w:spacing w:before="340" w:after="330" w:line="576" w:lineRule="auto"/>
      <w:outlineLvl w:val="0"/>
    </w:pPr>
    <w:rPr>
      <w:rFonts w:ascii="Calibri" w:hAnsi="Calibri"/>
      <w:b/>
      <w:bCs/>
      <w:kern w:val="44"/>
      <w:sz w:val="44"/>
      <w:szCs w:val="44"/>
    </w:rPr>
  </w:style>
  <w:style w:type="paragraph" w:customStyle="1" w:styleId="1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_0_0"/>
    <w:qFormat/>
    <w:uiPriority w:val="0"/>
    <w:rPr>
      <w:rFonts w:ascii="Times New Roman" w:hAnsi="Times New Roman" w:eastAsia="宋体" w:cs="Times New Roman"/>
      <w:kern w:val="0"/>
      <w:sz w:val="20"/>
      <w:szCs w:val="20"/>
      <w:lang w:val="en-US" w:eastAsia="zh-CN" w:bidi="ar-SA"/>
    </w:rPr>
  </w:style>
  <w:style w:type="paragraph" w:customStyle="1" w:styleId="16">
    <w:name w:val="正文文本_0"/>
    <w:basedOn w:val="17"/>
    <w:qFormat/>
    <w:uiPriority w:val="0"/>
    <w:pPr>
      <w:spacing w:after="120"/>
    </w:pPr>
    <w:rPr>
      <w:rFonts w:ascii="Tahoma" w:hAnsi="Tahoma" w:eastAsiaTheme="minorEastAsia" w:cstheme="minorBidi"/>
    </w:rPr>
  </w:style>
  <w:style w:type="paragraph" w:customStyle="1" w:styleId="1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常规"/>
    <w:basedOn w:val="17"/>
    <w:qFormat/>
    <w:uiPriority w:val="0"/>
    <w:rPr>
      <w:rFonts w:ascii="Tahoma" w:hAnsi="Tahoma" w:eastAsiaTheme="minorEastAsia" w:cstheme="minorBidi"/>
      <w:sz w:val="24"/>
      <w:szCs w:val="24"/>
    </w:rPr>
  </w:style>
  <w:style w:type="paragraph" w:customStyle="1" w:styleId="19">
    <w:name w:val="样式7"/>
    <w:basedOn w:val="17"/>
    <w:qFormat/>
    <w:uiPriority w:val="0"/>
    <w:pPr>
      <w:spacing w:beforeLines="50" w:afterLines="50" w:line="360" w:lineRule="auto"/>
      <w:ind w:firstLine="480" w:firstLineChars="200"/>
    </w:pPr>
    <w:rPr>
      <w:rFonts w:ascii="宋体" w:hAnsi="宋体" w:eastAsiaTheme="minorEastAsia" w:cstheme="minorBidi"/>
      <w:sz w:val="24"/>
      <w:szCs w:val="21"/>
    </w:rPr>
  </w:style>
  <w:style w:type="paragraph" w:customStyle="1" w:styleId="20">
    <w:name w:val="正文缩进_0"/>
    <w:basedOn w:val="1"/>
    <w:qFormat/>
    <w:uiPriority w:val="0"/>
    <w:pPr>
      <w:widowControl/>
      <w:ind w:firstLine="420"/>
      <w:jc w:val="left"/>
    </w:pPr>
    <w:rPr>
      <w:kern w:val="0"/>
      <w:sz w:val="20"/>
      <w:szCs w:val="20"/>
    </w:rPr>
  </w:style>
  <w:style w:type="paragraph" w:customStyle="1" w:styleId="21">
    <w:name w:val="正文_2"/>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22">
    <w:name w:val="0正文"/>
    <w:basedOn w:val="1"/>
    <w:qFormat/>
    <w:uiPriority w:val="0"/>
    <w:pPr>
      <w:adjustRightInd w:val="0"/>
      <w:spacing w:line="360" w:lineRule="auto"/>
      <w:ind w:firstLine="420" w:firstLineChars="200"/>
      <w:textAlignment w:val="baseline"/>
    </w:pPr>
    <w:rPr>
      <w:rFonts w:ascii="宋体" w:hAnsi="宋体" w:eastAsiaTheme="minorEastAsia" w:cstheme="minorBid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陈小子</cp:lastModifiedBy>
  <dcterms:modified xsi:type="dcterms:W3CDTF">2023-03-08T08:34:47Z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0C85CA03191948A99FA68166B24E103A</vt:lpwstr>
  </property>
</Properties>
</file>