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153" w:rightChars="-73"/>
        <w:jc w:val="center"/>
        <w:rPr>
          <w:rFonts w:hint="eastAsia" w:ascii="宋体" w:hAnsi="宋体" w:cs="Times New Roman"/>
          <w:b/>
          <w:sz w:val="44"/>
          <w:szCs w:val="44"/>
        </w:rPr>
      </w:pPr>
      <w:r>
        <w:rPr>
          <w:rFonts w:hint="eastAsia" w:ascii="宋体" w:hAnsi="宋体" w:cs="Times New Roman"/>
          <w:b/>
          <w:sz w:val="44"/>
          <w:szCs w:val="44"/>
        </w:rPr>
        <w:t>广州市花都区</w:t>
      </w:r>
      <w:r>
        <w:rPr>
          <w:rFonts w:hint="eastAsia" w:ascii="宋体" w:hAnsi="宋体" w:cs="Times New Roman"/>
          <w:b/>
          <w:sz w:val="44"/>
          <w:szCs w:val="44"/>
          <w:lang w:val="en-US" w:eastAsia="zh-CN"/>
        </w:rPr>
        <w:t>应急管理局</w:t>
      </w:r>
      <w:r>
        <w:rPr>
          <w:rFonts w:hint="eastAsia" w:ascii="宋体" w:hAnsi="宋体" w:cs="Times New Roman"/>
          <w:b/>
          <w:sz w:val="44"/>
          <w:szCs w:val="44"/>
        </w:rPr>
        <w:t>20</w:t>
      </w:r>
      <w:r>
        <w:rPr>
          <w:rFonts w:hint="eastAsia" w:ascii="宋体" w:hAnsi="宋体" w:cs="Times New Roman"/>
          <w:b/>
          <w:sz w:val="44"/>
          <w:szCs w:val="44"/>
          <w:lang w:val="en-US" w:eastAsia="zh-CN"/>
        </w:rPr>
        <w:t>22</w:t>
      </w:r>
      <w:r>
        <w:rPr>
          <w:rFonts w:hint="eastAsia" w:ascii="宋体" w:hAnsi="宋体" w:cs="Times New Roman"/>
          <w:b/>
          <w:sz w:val="44"/>
          <w:szCs w:val="44"/>
        </w:rPr>
        <w:t>年度</w:t>
      </w:r>
    </w:p>
    <w:p>
      <w:pPr>
        <w:spacing w:line="560" w:lineRule="exact"/>
        <w:ind w:right="-153" w:rightChars="-73"/>
        <w:jc w:val="center"/>
        <w:rPr>
          <w:rFonts w:ascii="宋体" w:hAnsi="宋体" w:cs="Times New Roman"/>
          <w:b/>
          <w:sz w:val="44"/>
          <w:szCs w:val="44"/>
        </w:rPr>
      </w:pPr>
      <w:r>
        <w:rPr>
          <w:rFonts w:hint="eastAsia" w:ascii="宋体" w:hAnsi="宋体" w:cs="Times New Roman"/>
          <w:b/>
          <w:sz w:val="44"/>
          <w:szCs w:val="44"/>
        </w:rPr>
        <w:t>行政许可实施和监督管理情况报告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</w:rPr>
        <w:t>广州市花都区</w:t>
      </w:r>
      <w:r>
        <w:rPr>
          <w:rFonts w:ascii="仿宋_GB2312" w:eastAsia="仿宋_GB2312"/>
          <w:sz w:val="32"/>
          <w:szCs w:val="32"/>
        </w:rPr>
        <w:t>人民政府办公</w:t>
      </w:r>
      <w:r>
        <w:rPr>
          <w:rFonts w:hint="eastAsia" w:ascii="仿宋_GB2312" w:eastAsia="仿宋_GB2312"/>
          <w:sz w:val="32"/>
          <w:szCs w:val="32"/>
        </w:rPr>
        <w:t>室</w:t>
      </w:r>
      <w:r>
        <w:rPr>
          <w:rFonts w:ascii="仿宋_GB2312" w:eastAsia="仿宋_GB2312"/>
          <w:sz w:val="32"/>
          <w:szCs w:val="32"/>
        </w:rPr>
        <w:t>关于报送行政许可实施和监督管理情况年度报告的通知》（</w:t>
      </w:r>
      <w:r>
        <w:rPr>
          <w:rFonts w:hint="eastAsia" w:ascii="仿宋_GB2312" w:eastAsia="仿宋_GB2312"/>
          <w:sz w:val="32"/>
          <w:szCs w:val="32"/>
        </w:rPr>
        <w:t>花府</w:t>
      </w:r>
      <w:r>
        <w:rPr>
          <w:rFonts w:ascii="仿宋_GB2312" w:eastAsia="仿宋_GB2312"/>
          <w:sz w:val="32"/>
          <w:szCs w:val="32"/>
        </w:rPr>
        <w:t>办函〔201</w:t>
      </w:r>
      <w:r>
        <w:rPr>
          <w:rFonts w:hint="eastAsia" w:ascii="仿宋_GB2312" w:eastAsia="仿宋_GB2312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</w:rPr>
        <w:t>17</w:t>
      </w:r>
      <w:r>
        <w:rPr>
          <w:rFonts w:ascii="仿宋_GB2312" w:eastAsia="仿宋_GB2312"/>
          <w:sz w:val="32"/>
          <w:szCs w:val="32"/>
        </w:rPr>
        <w:t>号）</w:t>
      </w:r>
      <w:r>
        <w:rPr>
          <w:rFonts w:hint="eastAsia" w:ascii="仿宋_GB2312" w:eastAsia="仿宋_GB2312"/>
          <w:sz w:val="32"/>
          <w:szCs w:val="32"/>
        </w:rPr>
        <w:t>要求，现将我单位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</w:rPr>
        <w:t>年行政许可实施和监督管理情况报告如下：</w:t>
      </w:r>
    </w:p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目前本单位行政许可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事项共1个主项、4个小项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分别为：危险化学品经营许可证核发（新领）、危险化学品经营许可证核发（变更）、危险化学品经营许可证核发（延期）、危险化学品经营许可证核发（注销）。以上事项</w:t>
      </w:r>
      <w:r>
        <w:rPr>
          <w:rFonts w:hint="eastAsia" w:ascii="仿宋_GB2312" w:eastAsia="仿宋_GB2312"/>
          <w:sz w:val="32"/>
          <w:szCs w:val="32"/>
        </w:rPr>
        <w:t>均按要求进驻广东省政务服务网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2022年度共办理15宗行政许可业务，其中危险化学品经营许可证核发（新领）10宗，危险化学品经营许可证核发（延期）5宗。</w:t>
      </w:r>
    </w:p>
    <w:p>
      <w:pPr>
        <w:spacing w:line="54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（一）依法实施情况。</w:t>
      </w:r>
      <w:r>
        <w:rPr>
          <w:rFonts w:hint="eastAsia" w:ascii="仿宋_GB2312" w:eastAsia="仿宋_GB2312"/>
          <w:sz w:val="32"/>
          <w:szCs w:val="32"/>
        </w:rPr>
        <w:t>在实施各项许可的过程中，经办人员严格遵守法定的审批权限、程序、环节、条件，在法定的时间内完成相关的审批和发证工作。以上各项许可工作，我单位均印发了相关办事指南宣传册，以便办事企业参考。其中危险化学品经营许可的法定办理期限为：30日内作出是否许可的决定（不包括现场审查和企业整改的期限），10个工作日内颁发危险化学品经营许可证，我单位承诺的办结期限为30个工作日，实际平均办结时间为10个工作日</w:t>
      </w:r>
      <w:r>
        <w:rPr>
          <w:rFonts w:hint="eastAsia" w:ascii="仿宋_GB2312" w:eastAsia="仿宋_GB2312"/>
          <w:sz w:val="32"/>
          <w:szCs w:val="32"/>
          <w:lang w:eastAsia="zh-CN"/>
        </w:rPr>
        <w:t>内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ascii="楷体_GB2312" w:hAnsi="楷体" w:eastAsia="楷体_GB2312"/>
          <w:b/>
          <w:sz w:val="32"/>
          <w:szCs w:val="32"/>
        </w:rPr>
        <w:t>（二）公开公示情况。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我单位所有行政许可事项相关办事指南（包括实施主体、依据、程序、条件、期限、裁量标准、申请材料及办法、收费标准、申请书格式文本、咨询投诉方式等信息的方式、范围等情况）均在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广东政务服务网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进行了公布；每次的许可情况均在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花都区政府门户网站和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“广州市公共信用信息管理系统”进行公告，向社会公开行政许可实施过程和结果。</w:t>
      </w:r>
    </w:p>
    <w:p>
      <w:pPr>
        <w:spacing w:line="54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楷体_GB2312" w:hAnsi="楷体" w:eastAsia="楷体_GB2312"/>
          <w:b/>
          <w:sz w:val="32"/>
          <w:szCs w:val="32"/>
        </w:rPr>
        <w:t>（三）推行标准化情况。</w:t>
      </w:r>
      <w:r>
        <w:rPr>
          <w:rFonts w:hint="eastAsia" w:ascii="仿宋_GB2312" w:eastAsia="仿宋_GB2312"/>
          <w:sz w:val="32"/>
          <w:szCs w:val="32"/>
        </w:rPr>
        <w:t>我单位对所有的行政许可事项均编制了《办事指南》，规范行政许可事项名称、实施依据、申请条件、申请材料、办理时限、受理范围等要素情况；对需要行政许可中介服务的情况进行了明确说明。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楷体_GB2312" w:hAnsi="楷体" w:eastAsia="楷体_GB2312"/>
          <w:b/>
          <w:sz w:val="32"/>
          <w:szCs w:val="32"/>
        </w:rPr>
        <w:t>（四）创新方式情况。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在行政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许可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工作中，为减少办事人的到场次数，提高审批效率，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对证明事项和兜底性条款进行清理，不再要求企业提交工商营业执照和身份证等相关证明文件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实行“容缺预审，先行核查”，即企业提交申报资料不齐全，可以预先受理，提前对企业进行现场核查，企业在现场核查时提供缺失的材料或在许可证发放前补齐相关资料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为优化审批服务，我局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就危险化学品经营许可证核发（无储存，申请经营范围为除易制爆、剧毒外的其他危险化学品）实行告知承诺制申办业务；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推进“经营危险化学品一件事（剧毒化学品、易制爆危险化学品、带储存设施经营的除外）”和“非药品类易制毒化学品经营一件事”两个事项的“一件事”实施工作，实现群众更快捷便利的办理服务。</w:t>
      </w:r>
    </w:p>
    <w:p>
      <w:pPr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ascii="楷体_GB2312" w:hAnsi="楷体" w:eastAsia="楷体_GB2312"/>
          <w:b/>
          <w:sz w:val="32"/>
          <w:szCs w:val="32"/>
        </w:rPr>
        <w:t>（五）</w:t>
      </w:r>
      <w:r>
        <w:rPr>
          <w:rFonts w:hint="eastAsia" w:ascii="楷体_GB2312" w:hAnsi="楷体" w:eastAsia="楷体_GB2312"/>
          <w:b/>
          <w:sz w:val="32"/>
          <w:szCs w:val="32"/>
        </w:rPr>
        <w:t>行政审批事中事后监管</w:t>
      </w:r>
      <w:r>
        <w:rPr>
          <w:rFonts w:ascii="楷体_GB2312" w:hAnsi="楷体" w:eastAsia="楷体_GB2312"/>
          <w:b/>
          <w:sz w:val="32"/>
          <w:szCs w:val="32"/>
        </w:rPr>
        <w:t>情况。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严格执行危险化学品分类分级监管模式，制定年度日常安全检查督查工作计划，明确并严格执行区镇两级安监督查检查内容和频次，加强对危化品企业的安全监管。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监管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未收到</w:t>
      </w:r>
      <w:r>
        <w:rPr>
          <w:rFonts w:hint="eastAsia" w:ascii="仿宋_GB2312" w:hAnsi="仿宋_GB2312" w:eastAsia="仿宋_GB2312" w:cs="仿宋_GB2312"/>
          <w:sz w:val="32"/>
          <w:szCs w:val="32"/>
        </w:rPr>
        <w:t>投诉举报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ascii="楷体_GB2312" w:hAnsi="楷体" w:eastAsia="楷体_GB2312"/>
          <w:b/>
          <w:sz w:val="32"/>
          <w:szCs w:val="32"/>
        </w:rPr>
        <w:t>（六）实施效果情况。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达到了设立行政许可事项时的预期效果，行政相对人的认可度和满意度比较高。</w:t>
      </w:r>
    </w:p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二、存在问题和困难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危险化学品经营许可证核发（储存、零售经营）审批事项的程序较为复杂，导致审批时间延长，不能满足企业快速取证的需要。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三、下一步工作措施及有关建议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（一）实行“容缺预审，先行核查”，即企业提交申报资料不齐全，可以预先受理，提前对企业进行现场核查，企业在现场核查时提供缺失的材料或在许可证发放前补齐相关资料。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对行政许可事项进行重新梳理，简化办事流程，删去企业现场提交纸质申报资料的步骤，由我局网上预先受理，企业在现场核查时提交纸质申报材料，将行政许可类审批事项实际办结时间比法定时间压减至少50%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）推进建设危险化学品经营许可证电子证照签发工作，有效加快行政审批时效。</w:t>
      </w:r>
    </w:p>
    <w:p>
      <w:pPr>
        <w:keepNext w:val="0"/>
        <w:keepLines w:val="0"/>
        <w:pageBreakBefore w:val="0"/>
        <w:widowControl w:val="0"/>
        <w:tabs>
          <w:tab w:val="left" w:pos="34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15" w:firstLineChars="2150"/>
        <w:textAlignment w:val="auto"/>
        <w:rPr>
          <w:rFonts w:hint="eastAsia" w:ascii="黑体" w:hAnsi="Tahoma" w:eastAsia="黑体"/>
          <w:lang w:val="en-US" w:eastAsia="zh-CN"/>
        </w:rPr>
      </w:pPr>
      <w:r>
        <w:rPr>
          <w:rFonts w:hint="eastAsia" w:ascii="黑体" w:hAnsi="Tahoma" w:eastAsia="黑体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tabs>
          <w:tab w:val="left" w:pos="34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15" w:firstLineChars="2150"/>
        <w:textAlignment w:val="auto"/>
        <w:rPr>
          <w:rFonts w:hint="eastAsia" w:ascii="黑体" w:hAnsi="Tahoma" w:eastAsia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4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广州市花都区应急管理局</w:t>
      </w:r>
      <w:r>
        <w:rPr>
          <w:rFonts w:hint="eastAsia" w:ascii="黑体" w:hAnsi="Tahoma" w:eastAsia="黑体"/>
          <w:lang w:val="en-US" w:eastAsia="zh-CN"/>
        </w:rPr>
        <w:t xml:space="preserve">                                                            </w:t>
      </w: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2023年3月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9"/>
    <w:rsid w:val="001C21F1"/>
    <w:rsid w:val="00E76E4E"/>
    <w:rsid w:val="00FB6919"/>
    <w:rsid w:val="01E87BE0"/>
    <w:rsid w:val="09537F9E"/>
    <w:rsid w:val="11A804B2"/>
    <w:rsid w:val="12D87650"/>
    <w:rsid w:val="13E22356"/>
    <w:rsid w:val="1A986030"/>
    <w:rsid w:val="1E1525E7"/>
    <w:rsid w:val="1F4A4A28"/>
    <w:rsid w:val="20725085"/>
    <w:rsid w:val="23276512"/>
    <w:rsid w:val="2940462F"/>
    <w:rsid w:val="2B07649F"/>
    <w:rsid w:val="2C013243"/>
    <w:rsid w:val="2EB07312"/>
    <w:rsid w:val="32724797"/>
    <w:rsid w:val="329D4DEB"/>
    <w:rsid w:val="333422ED"/>
    <w:rsid w:val="39BA1BE9"/>
    <w:rsid w:val="3F6F33B1"/>
    <w:rsid w:val="451C689A"/>
    <w:rsid w:val="5B84649E"/>
    <w:rsid w:val="620F23BB"/>
    <w:rsid w:val="7E2A1B9C"/>
    <w:rsid w:val="7FE0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1140</Words>
  <Characters>1175</Characters>
  <Lines>167</Lines>
  <Paragraphs>74</Paragraphs>
  <TotalTime>8</TotalTime>
  <ScaleCrop>false</ScaleCrop>
  <LinksUpToDate>false</LinksUpToDate>
  <CharactersWithSpaces>2241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2018-03-19T03:04:00Z</dcterms:created>
  <dc:creator>微软用户</dc:creator>
  <cp:lastModifiedBy>hh。hh</cp:lastModifiedBy>
  <dcterms:modified xsi:type="dcterms:W3CDTF">2023-03-24T02:46:10Z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