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40"/>
        </w:rPr>
      </w:pPr>
      <w:r>
        <w:rPr>
          <w:rFonts w:hint="eastAsia" w:ascii="黑体" w:hAnsi="黑体" w:eastAsia="黑体"/>
          <w:sz w:val="36"/>
          <w:szCs w:val="40"/>
        </w:rPr>
        <w:t>预留城乡建设用地规模使用地块基本情况表</w:t>
      </w:r>
    </w:p>
    <w:p>
      <w:pPr>
        <w:jc w:val="righ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单位：公顷</w:t>
      </w:r>
    </w:p>
    <w:tbl>
      <w:tblPr>
        <w:tblStyle w:val="2"/>
        <w:tblW w:w="14556" w:type="dxa"/>
        <w:tblInd w:w="113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78"/>
        <w:gridCol w:w="1134"/>
        <w:gridCol w:w="1418"/>
        <w:gridCol w:w="850"/>
        <w:gridCol w:w="851"/>
        <w:gridCol w:w="1559"/>
        <w:gridCol w:w="1134"/>
        <w:gridCol w:w="1134"/>
        <w:gridCol w:w="992"/>
        <w:gridCol w:w="1134"/>
        <w:gridCol w:w="1625"/>
        <w:gridCol w:w="1134"/>
        <w:gridCol w:w="513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</w:trPr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地块编号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地块面积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地块位置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土地利用现状用途</w:t>
            </w:r>
          </w:p>
        </w:tc>
        <w:tc>
          <w:tcPr>
            <w:tcW w:w="4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落实前土地规划用途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bookmarkEnd w:id="0"/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镇（街道、农场、林场、开发区）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行政村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农用地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建设用地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未利用地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农用地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建设用地</w:t>
            </w:r>
          </w:p>
        </w:tc>
        <w:tc>
          <w:tcPr>
            <w:tcW w:w="162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其他土地</w:t>
            </w: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6" w:hRule="atLeast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其中耕地（含可调整地类）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交通水利及其他建设用地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LS01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0.4898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炭步镇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东风村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0.4887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0.0024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0.0011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0.4898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0.0000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0.0000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0.4898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0.4887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0.0024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0.0011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0.4898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0.0000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0.0000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32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64538"/>
    <w:rsid w:val="1C46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市规划和自然资源局花都区分局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2023-04-14T07:14:00Z</dcterms:created>
  <dc:creator>单少杰</dc:creator>
  <cp:lastModifiedBy>单少杰</cp:lastModifiedBy>
  <dcterms:modified xsi:type="dcterms:W3CDTF">2023-04-14T07:15:57Z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90E99EFC3EDF44AB99E7385E524EAE23</vt:lpwstr>
  </property>
</Properties>
</file>