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>
      <w:pPr>
        <w:spacing w:line="360" w:lineRule="auto"/>
        <w:jc w:val="center"/>
        <w:rPr>
          <w:rFonts w:eastAsia="仿宋_GB2312"/>
          <w:b/>
          <w:sz w:val="32"/>
          <w:szCs w:val="32"/>
        </w:rPr>
      </w:pPr>
    </w:p>
    <w:p>
      <w:pPr>
        <w:pStyle w:val="4"/>
        <w:spacing w:line="360" w:lineRule="auto"/>
        <w:ind w:firstLine="0" w:firstLineChars="0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惠州至肇庆高速公路白云至三水段（花都区段）涉及广州市花都区土地用途调整方案暨</w:t>
      </w:r>
    </w:p>
    <w:p>
      <w:pPr>
        <w:pStyle w:val="4"/>
        <w:spacing w:line="360" w:lineRule="auto"/>
        <w:ind w:firstLine="0" w:firstLineChars="0"/>
        <w:jc w:val="center"/>
        <w:rPr>
          <w:rFonts w:eastAsia="仿宋_GB2312"/>
          <w:b/>
          <w:sz w:val="44"/>
          <w:szCs w:val="44"/>
        </w:rPr>
      </w:pPr>
      <w:r>
        <w:rPr>
          <w:rFonts w:hint="eastAsia" w:eastAsia="仿宋_GB2312"/>
          <w:b/>
          <w:sz w:val="44"/>
          <w:szCs w:val="44"/>
        </w:rPr>
        <w:t>永久基本农田补划方案</w:t>
      </w:r>
    </w:p>
    <w:p>
      <w:pPr>
        <w:jc w:val="center"/>
        <w:rPr>
          <w:rFonts w:eastAsia="仿宋_GB2312"/>
          <w:b/>
          <w:sz w:val="52"/>
        </w:rPr>
      </w:pPr>
    </w:p>
    <w:p>
      <w:pPr>
        <w:jc w:val="center"/>
        <w:rPr>
          <w:rFonts w:eastAsia="仿宋_GB2312"/>
          <w:b/>
          <w:sz w:val="52"/>
        </w:rPr>
      </w:pPr>
      <w:bookmarkStart w:id="17" w:name="_GoBack"/>
      <w:bookmarkEnd w:id="17"/>
    </w:p>
    <w:p>
      <w:pPr>
        <w:jc w:val="center"/>
        <w:rPr>
          <w:rFonts w:eastAsia="仿宋_GB2312"/>
          <w:b/>
          <w:sz w:val="52"/>
        </w:rPr>
      </w:pPr>
    </w:p>
    <w:p>
      <w:pPr>
        <w:jc w:val="center"/>
        <w:rPr>
          <w:rFonts w:eastAsia="仿宋_GB2312"/>
          <w:b/>
          <w:sz w:val="52"/>
        </w:rPr>
      </w:pPr>
    </w:p>
    <w:p>
      <w:pPr>
        <w:rPr>
          <w:rFonts w:eastAsia="仿宋_GB2312"/>
          <w:b/>
          <w:sz w:val="52"/>
        </w:rPr>
      </w:pPr>
    </w:p>
    <w:p>
      <w:pPr>
        <w:jc w:val="center"/>
        <w:rPr>
          <w:rFonts w:eastAsia="仿宋_GB2312"/>
          <w:b/>
          <w:sz w:val="52"/>
        </w:rPr>
      </w:pPr>
    </w:p>
    <w:p>
      <w:pPr>
        <w:jc w:val="center"/>
        <w:rPr>
          <w:rFonts w:eastAsia="仿宋_GB2312"/>
          <w:b/>
          <w:sz w:val="52"/>
        </w:rPr>
      </w:pPr>
    </w:p>
    <w:p>
      <w:pPr>
        <w:jc w:val="center"/>
        <w:rPr>
          <w:rFonts w:eastAsia="仿宋_GB2312"/>
          <w:b/>
          <w:sz w:val="52"/>
        </w:rPr>
      </w:pPr>
    </w:p>
    <w:p>
      <w:pPr>
        <w:jc w:val="center"/>
        <w:rPr>
          <w:rFonts w:eastAsia="仿宋_GB2312"/>
          <w:b/>
          <w:sz w:val="28"/>
        </w:rPr>
      </w:pPr>
    </w:p>
    <w:p>
      <w:pPr>
        <w:jc w:val="center"/>
        <w:rPr>
          <w:rFonts w:eastAsia="仿宋_GB2312"/>
          <w:sz w:val="28"/>
        </w:rPr>
        <w:sectPr>
          <w:headerReference r:id="rId4" w:type="first"/>
          <w:headerReference r:id="rId3" w:type="default"/>
          <w:footerReference r:id="rId5" w:type="default"/>
          <w:footerReference r:id="rId6" w:type="even"/>
          <w:footnotePr>
            <w:numFmt w:val="lowerRoman"/>
          </w:footnotePr>
          <w:pgSz w:w="11906" w:h="16838"/>
          <w:pgMar w:top="1440" w:right="1511" w:bottom="1440" w:left="1800" w:header="851" w:footer="992" w:gutter="0"/>
          <w:cols w:space="720" w:num="1"/>
          <w:titlePg/>
          <w:docGrid w:linePitch="312" w:charSpace="0"/>
        </w:sectPr>
      </w:pPr>
    </w:p>
    <w:p>
      <w:pPr>
        <w:pStyle w:val="2"/>
        <w:spacing w:before="0" w:after="0" w:line="360" w:lineRule="auto"/>
        <w:rPr>
          <w:rFonts w:hAnsi="宋体" w:eastAsia="仿宋_GB2312"/>
          <w:sz w:val="32"/>
          <w:szCs w:val="32"/>
        </w:rPr>
      </w:pPr>
      <w:bookmarkStart w:id="0" w:name="_Toc535489385"/>
      <w:bookmarkStart w:id="1" w:name="_Toc166665376"/>
      <w:bookmarkStart w:id="2" w:name="_Toc211066205"/>
      <w:bookmarkStart w:id="3" w:name="_Toc229399338"/>
      <w:r>
        <w:rPr>
          <w:rFonts w:hint="eastAsia" w:hAnsi="宋体" w:eastAsia="仿宋_GB2312"/>
          <w:sz w:val="32"/>
          <w:szCs w:val="32"/>
        </w:rPr>
        <w:t>一、项目概况</w:t>
      </w:r>
      <w:bookmarkEnd w:id="0"/>
    </w:p>
    <w:p>
      <w:pPr>
        <w:pStyle w:val="3"/>
        <w:spacing w:before="0" w:after="0" w:line="360" w:lineRule="auto"/>
        <w:rPr>
          <w:rFonts w:hAnsi="宋体" w:eastAsia="仿宋_GB2312"/>
          <w:sz w:val="30"/>
          <w:szCs w:val="30"/>
        </w:rPr>
      </w:pPr>
      <w:bookmarkStart w:id="4" w:name="_Toc535489386"/>
      <w:r>
        <w:rPr>
          <w:rFonts w:hint="eastAsia" w:hAnsi="宋体" w:eastAsia="仿宋_GB2312"/>
          <w:sz w:val="30"/>
          <w:szCs w:val="30"/>
        </w:rPr>
        <w:t>（一）项目建设依据</w:t>
      </w:r>
      <w:bookmarkEnd w:id="4"/>
    </w:p>
    <w:p>
      <w:pPr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bookmarkStart w:id="5" w:name="_Toc535489387"/>
      <w:r>
        <w:rPr>
          <w:rFonts w:hint="eastAsia" w:eastAsia="仿宋_GB2312"/>
          <w:kern w:val="0"/>
          <w:sz w:val="28"/>
          <w:szCs w:val="28"/>
        </w:rPr>
        <w:t>惠州至肇庆高速白云至三水段（以下简称“本项目”）已列入《广东省交通运输厅关于印发广东省高速公路网规划（2020-2035年）的通知》（粤交规（2020）276号）、《广东省人民政府办公厅关于印发&lt;广东省综合交通运输体系“十四五”发展规划&gt;的通知》（粤府办〔2021〕27号）、《广东省发展改革委关于下达广东省2023年重点建设项目计划的通知》（粤发改重点〔2023〕72号），属省级高速公路项目，由广东省发展和改革委员会核准。本项目属于对选址有特殊要求的线性工程，具有区域分布连续性和不可分割性，结合广州市花都区的永久基本农田分布特点，项目不可避免占用广州市花都区部分永久基本农田，根据《自然资源部关于进一步做好用地用海要素保障的通知》（自然资发〔2023〕89号）的要求，重大建设项目占用永久基本农田的，需依据规划修改和永久基本农田补划的要求，组织编制土地用途调整方案暨永久基本农田补划方案，确保永久基本农田补足补优。本项目属于省级高速公路，符合《自然资源部关于进一步做好用地用海要素保障的通知》（自然资发〔2023〕89号）的要求，需要组织编制土地用途调整方案暨永久基本农田补划方案。</w:t>
      </w:r>
    </w:p>
    <w:p>
      <w:pPr>
        <w:pStyle w:val="3"/>
        <w:spacing w:before="0" w:after="0" w:line="360" w:lineRule="auto"/>
        <w:rPr>
          <w:rFonts w:hAnsi="宋体" w:eastAsia="仿宋_GB2312"/>
          <w:sz w:val="30"/>
          <w:szCs w:val="30"/>
        </w:rPr>
      </w:pPr>
      <w:r>
        <w:rPr>
          <w:rFonts w:hint="eastAsia" w:hAnsi="宋体" w:eastAsia="仿宋_GB2312"/>
          <w:sz w:val="30"/>
          <w:szCs w:val="30"/>
        </w:rPr>
        <w:t>（二）项目建设意义</w:t>
      </w:r>
      <w:bookmarkEnd w:id="5"/>
    </w:p>
    <w:p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1、有利于促进粤港澳大湾区发展建设；</w:t>
      </w:r>
    </w:p>
    <w:p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2、有利于优化广州都市圈建设，促进区域协同发展；</w:t>
      </w:r>
    </w:p>
    <w:p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3、有利于构建东西向交通通道，提高高速覆盖率；</w:t>
      </w:r>
    </w:p>
    <w:p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4、有利于完善广州北部路网，缓解广佛出口交通拥堵。</w:t>
      </w:r>
    </w:p>
    <w:p>
      <w:pPr>
        <w:pStyle w:val="3"/>
        <w:spacing w:before="0" w:after="0" w:line="360" w:lineRule="auto"/>
        <w:rPr>
          <w:rFonts w:hAnsi="宋体" w:eastAsia="仿宋_GB2312"/>
          <w:sz w:val="30"/>
          <w:szCs w:val="30"/>
        </w:rPr>
      </w:pPr>
      <w:bookmarkStart w:id="6" w:name="_Toc535489388"/>
      <w:r>
        <w:rPr>
          <w:rFonts w:hint="eastAsia" w:hAnsi="宋体" w:eastAsia="仿宋_GB2312"/>
          <w:sz w:val="30"/>
          <w:szCs w:val="30"/>
        </w:rPr>
        <w:t>（三）项目建设地点</w:t>
      </w:r>
      <w:bookmarkEnd w:id="6"/>
    </w:p>
    <w:p>
      <w:pPr>
        <w:spacing w:line="360" w:lineRule="auto"/>
        <w:ind w:firstLine="560" w:firstLineChars="200"/>
        <w:rPr>
          <w:rFonts w:eastAsia="仿宋_GB2312"/>
          <w:kern w:val="0"/>
          <w:sz w:val="28"/>
          <w:szCs w:val="28"/>
        </w:rPr>
      </w:pPr>
      <w:r>
        <w:rPr>
          <w:rFonts w:hint="eastAsia" w:eastAsia="仿宋_GB2312"/>
          <w:kern w:val="0"/>
          <w:sz w:val="28"/>
          <w:szCs w:val="28"/>
        </w:rPr>
        <w:t>本项目涉及广州市白云区、花都区和佛山市三水区、南海区，主线起于广州市白云区人和镇人和村，顺接已通车的花莞高速公路，并与机场高速公路和大广高速公路相交，经白云区江高镇，花都区新雅街道、秀全街道、炭步镇，终于佛山市三水区乐平镇红岗新村，接佛清从高速公路。红棉支线起于广州市花都区秀全街道马溪村，接本项目主线，终于佛山市南海区里水镇小布村，顺接佛江高速公路。</w:t>
      </w:r>
    </w:p>
    <w:p>
      <w:pPr>
        <w:pStyle w:val="3"/>
        <w:spacing w:before="0" w:after="0" w:line="360" w:lineRule="auto"/>
        <w:rPr>
          <w:rFonts w:hAnsi="宋体" w:eastAsia="仿宋_GB2312"/>
          <w:sz w:val="30"/>
          <w:szCs w:val="30"/>
        </w:rPr>
      </w:pPr>
      <w:bookmarkStart w:id="7" w:name="_Toc535489389"/>
      <w:r>
        <w:rPr>
          <w:rFonts w:hint="eastAsia" w:hAnsi="宋体" w:eastAsia="仿宋_GB2312"/>
          <w:sz w:val="30"/>
          <w:szCs w:val="30"/>
        </w:rPr>
        <w:t>（四）项目用地情况</w:t>
      </w:r>
      <w:bookmarkEnd w:id="7"/>
    </w:p>
    <w:p>
      <w:pPr>
        <w:spacing w:line="360" w:lineRule="auto"/>
        <w:ind w:firstLine="560" w:firstLineChars="200"/>
        <w:rPr>
          <w:rFonts w:eastAsia="仿宋_GB2312"/>
          <w:sz w:val="28"/>
        </w:rPr>
      </w:pPr>
      <w:bookmarkStart w:id="8" w:name="_Hlk47342954"/>
      <w:r>
        <w:rPr>
          <w:rFonts w:hint="eastAsia" w:eastAsia="仿宋_GB2312"/>
          <w:sz w:val="28"/>
        </w:rPr>
        <w:t>根据广州市花都区2021年度国土变更调查成果，本项目涉及花都区用地面积为156.9654公顷，其中农用地106.2134公顷（其中涉及耕地9.3535公顷），建设用地49.8054公顷，未利用地0.9466公顷，涉及占用永久基本农田1.4378公顷。不涉及围填海。</w:t>
      </w:r>
    </w:p>
    <w:bookmarkEnd w:id="8"/>
    <w:p>
      <w:pPr>
        <w:ind w:firstLine="482" w:firstLineChars="200"/>
        <w:jc w:val="center"/>
        <w:rPr>
          <w:rFonts w:eastAsia="仿宋_GB2312"/>
          <w:b/>
          <w:sz w:val="24"/>
          <w:szCs w:val="24"/>
        </w:rPr>
      </w:pPr>
      <w:r>
        <w:rPr>
          <w:rFonts w:hint="eastAsia" w:eastAsia="仿宋_GB2312"/>
          <w:b/>
          <w:sz w:val="24"/>
          <w:szCs w:val="24"/>
        </w:rPr>
        <w:t>表</w:t>
      </w:r>
      <w:r>
        <w:rPr>
          <w:rFonts w:eastAsia="仿宋_GB2312"/>
          <w:b/>
          <w:sz w:val="24"/>
          <w:szCs w:val="24"/>
        </w:rPr>
        <w:t>1</w:t>
      </w:r>
      <w:r>
        <w:rPr>
          <w:rFonts w:hint="eastAsia" w:eastAsia="仿宋_GB2312"/>
          <w:b/>
          <w:sz w:val="24"/>
          <w:szCs w:val="24"/>
        </w:rPr>
        <w:t>-</w:t>
      </w:r>
      <w:r>
        <w:rPr>
          <w:rFonts w:eastAsia="仿宋_GB2312"/>
          <w:b/>
          <w:sz w:val="24"/>
          <w:szCs w:val="24"/>
        </w:rPr>
        <w:t>1</w:t>
      </w:r>
      <w:r>
        <w:rPr>
          <w:rFonts w:eastAsia="仿宋_GB2312"/>
          <w:b/>
          <w:sz w:val="28"/>
          <w:szCs w:val="28"/>
        </w:rPr>
        <w:t xml:space="preserve">  </w:t>
      </w:r>
      <w:r>
        <w:rPr>
          <w:rFonts w:hint="eastAsia" w:eastAsia="仿宋_GB2312"/>
          <w:b/>
          <w:kern w:val="0"/>
          <w:sz w:val="24"/>
          <w:szCs w:val="24"/>
        </w:rPr>
        <w:t>项目花都区段土地利用现状表</w:t>
      </w:r>
    </w:p>
    <w:p>
      <w:pPr>
        <w:ind w:firstLine="480" w:firstLineChars="200"/>
        <w:jc w:val="right"/>
        <w:rPr>
          <w:rFonts w:eastAsia="仿宋_GB2312"/>
          <w:sz w:val="24"/>
          <w:szCs w:val="24"/>
        </w:rPr>
      </w:pPr>
      <w:r>
        <w:rPr>
          <w:rFonts w:hint="eastAsia" w:eastAsia="仿宋_GB2312"/>
          <w:sz w:val="24"/>
          <w:szCs w:val="24"/>
        </w:rPr>
        <w:t>单位：公顷</w:t>
      </w:r>
    </w:p>
    <w:tbl>
      <w:tblPr>
        <w:tblStyle w:val="8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04"/>
        <w:gridCol w:w="794"/>
        <w:gridCol w:w="899"/>
        <w:gridCol w:w="899"/>
        <w:gridCol w:w="794"/>
        <w:gridCol w:w="1271"/>
        <w:gridCol w:w="899"/>
        <w:gridCol w:w="1060"/>
        <w:gridCol w:w="1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40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行政区</w:t>
            </w:r>
          </w:p>
        </w:tc>
        <w:tc>
          <w:tcPr>
            <w:tcW w:w="5661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农用地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建设</w:t>
            </w:r>
          </w:p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用地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未利用地</w:t>
            </w:r>
          </w:p>
        </w:tc>
        <w:tc>
          <w:tcPr>
            <w:tcW w:w="0" w:type="auto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合计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840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小计</w:t>
            </w:r>
          </w:p>
        </w:tc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耕地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园地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林地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草地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其他农用地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40" w:type="dxa"/>
            <w:noWrap/>
            <w:vAlign w:val="center"/>
          </w:tcPr>
          <w:p>
            <w:pPr>
              <w:jc w:val="center"/>
              <w:rPr>
                <w:rFonts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bCs/>
                <w:color w:val="000000"/>
                <w:szCs w:val="21"/>
              </w:rPr>
              <w:t>花都区</w:t>
            </w:r>
          </w:p>
        </w:tc>
        <w:tc>
          <w:tcPr>
            <w:tcW w:w="1004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106.2134</w:t>
            </w:r>
          </w:p>
        </w:tc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9.3535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12.4283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27.9825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8.0010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48.4481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49.8054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0.9466</w:t>
            </w:r>
          </w:p>
        </w:tc>
        <w:tc>
          <w:tcPr>
            <w:tcW w:w="0" w:type="auto"/>
            <w:noWrap/>
            <w:vAlign w:val="center"/>
          </w:tcPr>
          <w:p>
            <w:pPr>
              <w:jc w:val="center"/>
              <w:rPr>
                <w:rFonts w:eastAsia="仿宋_GB2312"/>
                <w:bCs/>
                <w:color w:val="000000"/>
                <w:szCs w:val="21"/>
              </w:rPr>
            </w:pPr>
            <w:r>
              <w:rPr>
                <w:rFonts w:eastAsia="仿宋_GB2312"/>
                <w:bCs/>
                <w:color w:val="000000"/>
                <w:szCs w:val="21"/>
              </w:rPr>
              <w:t>156.9654</w:t>
            </w:r>
          </w:p>
        </w:tc>
      </w:tr>
    </w:tbl>
    <w:p>
      <w:pPr>
        <w:pStyle w:val="2"/>
        <w:spacing w:before="0" w:after="0" w:line="360" w:lineRule="auto"/>
        <w:rPr>
          <w:rFonts w:hAnsi="宋体" w:eastAsia="仿宋_GB2312"/>
          <w:sz w:val="32"/>
          <w:szCs w:val="32"/>
        </w:rPr>
      </w:pPr>
      <w:bookmarkStart w:id="9" w:name="_Toc535489394"/>
      <w:r>
        <w:rPr>
          <w:rFonts w:hint="eastAsia" w:hAnsi="宋体" w:eastAsia="仿宋_GB2312"/>
          <w:sz w:val="32"/>
          <w:szCs w:val="32"/>
        </w:rPr>
        <w:t>二、</w:t>
      </w:r>
      <w:bookmarkEnd w:id="9"/>
      <w:r>
        <w:rPr>
          <w:rFonts w:hint="eastAsia" w:hAnsi="宋体" w:eastAsia="仿宋_GB2312"/>
          <w:sz w:val="32"/>
          <w:szCs w:val="32"/>
        </w:rPr>
        <w:t>占用补划永久基本农田情况</w:t>
      </w:r>
    </w:p>
    <w:p>
      <w:pPr>
        <w:pStyle w:val="3"/>
        <w:spacing w:before="0" w:after="0" w:line="360" w:lineRule="auto"/>
        <w:rPr>
          <w:rFonts w:hAnsi="宋体" w:eastAsia="仿宋_GB2312"/>
          <w:sz w:val="30"/>
          <w:szCs w:val="30"/>
        </w:rPr>
      </w:pPr>
      <w:bookmarkStart w:id="10" w:name="_Toc535489399"/>
      <w:r>
        <w:rPr>
          <w:rFonts w:hint="eastAsia" w:hAnsi="宋体" w:eastAsia="仿宋_GB2312"/>
          <w:sz w:val="30"/>
          <w:szCs w:val="30"/>
        </w:rPr>
        <w:t>（一）</w:t>
      </w:r>
      <w:bookmarkStart w:id="11" w:name="_Toc496449459"/>
      <w:r>
        <w:rPr>
          <w:rFonts w:hint="eastAsia" w:hAnsi="宋体" w:eastAsia="仿宋_GB2312"/>
          <w:sz w:val="30"/>
          <w:szCs w:val="30"/>
        </w:rPr>
        <w:t>永久基本农田占用情况</w:t>
      </w:r>
      <w:bookmarkEnd w:id="10"/>
      <w:bookmarkEnd w:id="11"/>
    </w:p>
    <w:p>
      <w:pPr>
        <w:widowControl/>
        <w:overflowPunct w:val="0"/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本项目占用花都区永久基本农田</w:t>
      </w:r>
      <w:r>
        <w:rPr>
          <w:rFonts w:eastAsia="仿宋"/>
          <w:sz w:val="28"/>
        </w:rPr>
        <w:t>1.4378</w:t>
      </w:r>
      <w:r>
        <w:rPr>
          <w:rFonts w:hint="eastAsia" w:eastAsia="仿宋_GB2312"/>
          <w:sz w:val="28"/>
        </w:rPr>
        <w:t>公顷。占用情况见下表：</w:t>
      </w:r>
    </w:p>
    <w:p>
      <w:pPr>
        <w:widowControl/>
        <w:overflowPunct w:val="0"/>
        <w:spacing w:line="360" w:lineRule="auto"/>
        <w:jc w:val="center"/>
        <w:rPr>
          <w:rFonts w:hAnsi="宋体" w:eastAsia="仿宋_GB2312"/>
          <w:b/>
          <w:sz w:val="24"/>
          <w:szCs w:val="24"/>
        </w:rPr>
      </w:pPr>
      <w:r>
        <w:rPr>
          <w:rFonts w:hint="eastAsia" w:hAnsi="宋体" w:eastAsia="仿宋_GB2312"/>
          <w:b/>
          <w:sz w:val="24"/>
          <w:szCs w:val="24"/>
        </w:rPr>
        <w:t>表</w:t>
      </w:r>
      <w:r>
        <w:rPr>
          <w:rFonts w:hint="eastAsia" w:eastAsia="仿宋_GB2312"/>
          <w:b/>
          <w:sz w:val="24"/>
          <w:szCs w:val="24"/>
        </w:rPr>
        <w:t>2-</w:t>
      </w:r>
      <w:r>
        <w:rPr>
          <w:rFonts w:eastAsia="仿宋_GB2312"/>
          <w:b/>
          <w:sz w:val="24"/>
          <w:szCs w:val="24"/>
        </w:rPr>
        <w:t>1</w:t>
      </w:r>
      <w:r>
        <w:rPr>
          <w:rFonts w:eastAsia="仿宋_GB2312"/>
          <w:b/>
          <w:sz w:val="28"/>
          <w:szCs w:val="28"/>
        </w:rPr>
        <w:t xml:space="preserve">  </w:t>
      </w:r>
      <w:r>
        <w:rPr>
          <w:rFonts w:hint="eastAsia" w:hAnsi="宋体" w:eastAsia="仿宋_GB2312"/>
          <w:b/>
          <w:sz w:val="24"/>
          <w:szCs w:val="24"/>
        </w:rPr>
        <w:t>项目占用花都区永久基本农田情况表</w:t>
      </w:r>
    </w:p>
    <w:p>
      <w:pPr>
        <w:widowControl/>
        <w:overflowPunct w:val="0"/>
        <w:ind w:firstLine="480" w:firstLineChars="200"/>
        <w:jc w:val="right"/>
        <w:rPr>
          <w:rFonts w:hAnsi="宋体" w:eastAsia="仿宋_GB2312"/>
          <w:bCs/>
          <w:sz w:val="24"/>
          <w:szCs w:val="24"/>
        </w:rPr>
      </w:pPr>
      <w:r>
        <w:rPr>
          <w:rFonts w:hint="eastAsia" w:hAnsi="宋体" w:eastAsia="仿宋_GB2312"/>
          <w:bCs/>
          <w:sz w:val="24"/>
          <w:szCs w:val="24"/>
        </w:rPr>
        <w:t>单位：公顷</w:t>
      </w:r>
    </w:p>
    <w:tbl>
      <w:tblPr>
        <w:tblStyle w:val="8"/>
        <w:tblW w:w="524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686"/>
        <w:gridCol w:w="1060"/>
        <w:gridCol w:w="1481"/>
        <w:gridCol w:w="846"/>
        <w:gridCol w:w="794"/>
        <w:gridCol w:w="2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地块编号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行政区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坡度级别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耕地质量等别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地类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面积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新雅街道石塘村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0.0925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ZY02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新雅街道东镜村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0.0106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ZY03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炭步镇鸭湖村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0.0014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ZY04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炭步镇平岭头村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0.0042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ZY05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炭步镇平岭头村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0.0196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ZY06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炭步镇水口村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0.0015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炭步镇水口村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0.1109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ZY08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炭步镇水口村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0.0009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ZY09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炭步镇水口村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0.0033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ZY10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炭步镇朗头村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0.0370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0.0004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无等别，根据周边地块赋等别为6等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ZY11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炭步镇朗头村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0.0494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ZY12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炭步镇朗头村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0.1360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0.0059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无等别，根据周边地块赋等别为7等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ZY13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炭步镇朗头村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0.0005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0.0002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无等别，根据周边地块赋等别为7等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ZY14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炭步镇朗头村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0.0002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ZY15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炭步镇朗头村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0.0007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ZY16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炭步镇社岗村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0.0667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ZY17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炭步镇社岗村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0.0495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ZY18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炭步镇社岗村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0.0572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炭步镇社岗村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0.0483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炭步镇社岗村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0.029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ZY21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炭步镇社岗村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0.0761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ZY22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炭步镇社岗村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0.1442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0.0024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无等别，根据周边地块赋等别为6等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炭步镇社岗村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0.1354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ZY24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炭步镇社岗村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水浇地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0.0342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无等别，根据周边地块赋等别为6等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ZY25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炭步镇大坳村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水浇地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0.2974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水浇地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0.0222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无等别，根据周边地块赋等别为6等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1.4378</w:t>
            </w:r>
          </w:p>
        </w:tc>
        <w:tc>
          <w:tcPr>
            <w:tcW w:w="20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</w:tbl>
    <w:p>
      <w:pPr>
        <w:widowControl/>
        <w:overflowPunct w:val="0"/>
        <w:spacing w:line="360" w:lineRule="auto"/>
        <w:jc w:val="center"/>
        <w:rPr>
          <w:rFonts w:eastAsia="仿宋_GB2312"/>
          <w:sz w:val="28"/>
        </w:rPr>
      </w:pPr>
    </w:p>
    <w:p>
      <w:pPr>
        <w:pStyle w:val="3"/>
        <w:spacing w:before="0" w:after="0" w:line="360" w:lineRule="auto"/>
        <w:rPr>
          <w:rFonts w:hAnsi="宋体" w:eastAsia="仿宋_GB2312"/>
          <w:sz w:val="30"/>
          <w:szCs w:val="30"/>
        </w:rPr>
      </w:pPr>
      <w:bookmarkStart w:id="12" w:name="_Toc535489400"/>
      <w:r>
        <w:rPr>
          <w:rFonts w:hint="eastAsia" w:hAnsi="宋体" w:eastAsia="仿宋_GB2312"/>
          <w:sz w:val="30"/>
          <w:szCs w:val="30"/>
        </w:rPr>
        <w:t>（二）永久基本农田补划情况</w:t>
      </w:r>
      <w:bookmarkEnd w:id="12"/>
    </w:p>
    <w:bookmarkEnd w:id="1"/>
    <w:bookmarkEnd w:id="2"/>
    <w:bookmarkEnd w:id="3"/>
    <w:p>
      <w:pPr>
        <w:widowControl/>
        <w:overflowPunct w:val="0"/>
        <w:spacing w:line="360" w:lineRule="auto"/>
        <w:ind w:firstLine="560" w:firstLineChars="200"/>
        <w:rPr>
          <w:rFonts w:hAnsi="宋体" w:eastAsia="仿宋_GB2312"/>
          <w:b/>
          <w:sz w:val="24"/>
          <w:szCs w:val="24"/>
        </w:rPr>
      </w:pPr>
      <w:bookmarkStart w:id="13" w:name="_Toc211066208"/>
      <w:r>
        <w:rPr>
          <w:rFonts w:hint="eastAsia" w:eastAsia="仿宋_GB2312"/>
          <w:sz w:val="28"/>
        </w:rPr>
        <w:t>该项目在花都区补划永久基本农田</w:t>
      </w:r>
      <w:r>
        <w:rPr>
          <w:rFonts w:eastAsia="仿宋"/>
          <w:sz w:val="28"/>
        </w:rPr>
        <w:t>1.6229</w:t>
      </w:r>
      <w:r>
        <w:rPr>
          <w:rFonts w:hint="eastAsia" w:eastAsia="仿宋_GB2312"/>
          <w:sz w:val="28"/>
        </w:rPr>
        <w:t>公顷，补划情况见下表：</w:t>
      </w:r>
    </w:p>
    <w:p>
      <w:pPr>
        <w:widowControl/>
        <w:overflowPunct w:val="0"/>
        <w:spacing w:line="360" w:lineRule="auto"/>
        <w:jc w:val="center"/>
        <w:rPr>
          <w:rFonts w:hAnsi="宋体" w:eastAsia="仿宋_GB2312"/>
          <w:b/>
          <w:sz w:val="24"/>
          <w:szCs w:val="24"/>
        </w:rPr>
      </w:pPr>
      <w:r>
        <w:rPr>
          <w:rFonts w:hint="eastAsia" w:hAnsi="宋体" w:eastAsia="仿宋_GB2312"/>
          <w:b/>
          <w:sz w:val="24"/>
          <w:szCs w:val="24"/>
        </w:rPr>
        <w:t>表</w:t>
      </w:r>
      <w:r>
        <w:rPr>
          <w:rFonts w:hint="eastAsia" w:eastAsia="仿宋_GB2312"/>
          <w:b/>
          <w:sz w:val="24"/>
          <w:szCs w:val="24"/>
        </w:rPr>
        <w:t>2-2</w:t>
      </w:r>
      <w:r>
        <w:rPr>
          <w:rFonts w:eastAsia="仿宋_GB2312"/>
          <w:b/>
          <w:sz w:val="28"/>
          <w:szCs w:val="28"/>
        </w:rPr>
        <w:t xml:space="preserve">  </w:t>
      </w:r>
      <w:r>
        <w:rPr>
          <w:rFonts w:hint="eastAsia" w:hAnsi="宋体" w:eastAsia="仿宋_GB2312"/>
          <w:b/>
          <w:sz w:val="24"/>
          <w:szCs w:val="24"/>
        </w:rPr>
        <w:t>项目占用花都区永久基本农田补划情况表</w:t>
      </w:r>
    </w:p>
    <w:p>
      <w:pPr>
        <w:widowControl/>
        <w:overflowPunct w:val="0"/>
        <w:ind w:firstLine="480" w:firstLineChars="200"/>
        <w:jc w:val="right"/>
        <w:rPr>
          <w:rFonts w:hAnsi="宋体" w:eastAsia="仿宋_GB2312"/>
          <w:bCs/>
          <w:sz w:val="24"/>
          <w:szCs w:val="24"/>
        </w:rPr>
      </w:pPr>
      <w:r>
        <w:rPr>
          <w:rFonts w:hint="eastAsia" w:hAnsi="宋体" w:eastAsia="仿宋_GB2312"/>
          <w:bCs/>
          <w:sz w:val="24"/>
          <w:szCs w:val="24"/>
        </w:rPr>
        <w:t>单位：公顷</w:t>
      </w:r>
    </w:p>
    <w:tbl>
      <w:tblPr>
        <w:tblStyle w:val="8"/>
        <w:tblW w:w="8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1519"/>
        <w:gridCol w:w="1231"/>
        <w:gridCol w:w="1559"/>
        <w:gridCol w:w="1080"/>
        <w:gridCol w:w="831"/>
        <w:gridCol w:w="1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地块编号</w:t>
            </w:r>
          </w:p>
        </w:tc>
        <w:tc>
          <w:tcPr>
            <w:tcW w:w="15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行政区</w:t>
            </w:r>
          </w:p>
        </w:tc>
        <w:tc>
          <w:tcPr>
            <w:tcW w:w="1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坡度级别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耕地质量等别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地类</w:t>
            </w:r>
          </w:p>
        </w:tc>
        <w:tc>
          <w:tcPr>
            <w:tcW w:w="8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面积</w:t>
            </w:r>
          </w:p>
        </w:tc>
        <w:tc>
          <w:tcPr>
            <w:tcW w:w="1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BH01</w:t>
            </w:r>
          </w:p>
        </w:tc>
        <w:tc>
          <w:tcPr>
            <w:tcW w:w="15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炭步镇文二村</w:t>
            </w:r>
          </w:p>
        </w:tc>
        <w:tc>
          <w:tcPr>
            <w:tcW w:w="123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水浇地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1.0257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3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水浇地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0.0001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无等别，根据周边地块赋等别为6等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BH02</w:t>
            </w:r>
          </w:p>
        </w:tc>
        <w:tc>
          <w:tcPr>
            <w:tcW w:w="1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炭步镇文二村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水浇地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0.5971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5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总计</w:t>
            </w:r>
          </w:p>
        </w:tc>
        <w:tc>
          <w:tcPr>
            <w:tcW w:w="12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</w:t>
            </w:r>
          </w:p>
        </w:tc>
        <w:tc>
          <w:tcPr>
            <w:tcW w:w="8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1.6229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—</w:t>
            </w:r>
          </w:p>
        </w:tc>
      </w:tr>
    </w:tbl>
    <w:p>
      <w:pPr>
        <w:widowControl/>
        <w:overflowPunct w:val="0"/>
        <w:jc w:val="center"/>
        <w:rPr>
          <w:rFonts w:hAnsi="宋体" w:eastAsia="仿宋_GB2312"/>
          <w:bCs/>
          <w:sz w:val="24"/>
          <w:szCs w:val="24"/>
        </w:rPr>
      </w:pPr>
    </w:p>
    <w:p>
      <w:pPr>
        <w:widowControl/>
        <w:overflowPunct w:val="0"/>
        <w:jc w:val="center"/>
        <w:rPr>
          <w:rFonts w:hAnsi="宋体" w:eastAsia="仿宋_GB2312"/>
          <w:bCs/>
          <w:sz w:val="24"/>
          <w:szCs w:val="24"/>
        </w:rPr>
      </w:pPr>
    </w:p>
    <w:p>
      <w:pPr>
        <w:pStyle w:val="3"/>
        <w:spacing w:before="0" w:after="0" w:line="360" w:lineRule="auto"/>
        <w:rPr>
          <w:rFonts w:hAnsi="宋体" w:eastAsia="仿宋_GB2312"/>
          <w:sz w:val="30"/>
          <w:szCs w:val="30"/>
        </w:rPr>
      </w:pPr>
      <w:bookmarkStart w:id="14" w:name="_Toc535489401"/>
      <w:r>
        <w:rPr>
          <w:rFonts w:hint="eastAsia" w:hAnsi="宋体" w:eastAsia="仿宋_GB2312"/>
          <w:sz w:val="30"/>
          <w:szCs w:val="30"/>
        </w:rPr>
        <w:t>（三）永久基本农田占用补划情况</w:t>
      </w:r>
      <w:bookmarkEnd w:id="14"/>
    </w:p>
    <w:p>
      <w:pPr>
        <w:widowControl/>
        <w:overflowPunct w:val="0"/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本项目占用花都区永久基本农田1</w:t>
      </w:r>
      <w:r>
        <w:rPr>
          <w:rFonts w:eastAsia="仿宋_GB2312"/>
          <w:sz w:val="28"/>
        </w:rPr>
        <w:t>.4378</w:t>
      </w:r>
      <w:r>
        <w:rPr>
          <w:rFonts w:hint="eastAsia" w:eastAsia="仿宋_GB2312"/>
          <w:sz w:val="28"/>
        </w:rPr>
        <w:t>公顷，耕地质量等别为6等地1.2705公顷、7等地0.1673公顷，平均质量等别为6.1等；拟补划永久基本农田1</w:t>
      </w:r>
      <w:r>
        <w:rPr>
          <w:rFonts w:eastAsia="仿宋_GB2312"/>
          <w:sz w:val="28"/>
        </w:rPr>
        <w:t>.6229</w:t>
      </w:r>
      <w:r>
        <w:rPr>
          <w:rFonts w:hint="eastAsia" w:eastAsia="仿宋_GB2312"/>
          <w:sz w:val="28"/>
        </w:rPr>
        <w:t>公顷，耕地质量等别均为6等，平均质量等别为6.0等。补划后，花都区永久基本农田数量不减少、质量不下降。</w:t>
      </w:r>
    </w:p>
    <w:bookmarkEnd w:id="13"/>
    <w:p>
      <w:pPr>
        <w:pStyle w:val="2"/>
        <w:spacing w:before="0" w:after="0" w:line="360" w:lineRule="auto"/>
        <w:rPr>
          <w:rFonts w:hAnsi="宋体" w:eastAsia="仿宋_GB2312"/>
          <w:sz w:val="32"/>
          <w:szCs w:val="32"/>
        </w:rPr>
      </w:pPr>
      <w:bookmarkStart w:id="15" w:name="_Toc535489402"/>
      <w:bookmarkStart w:id="16" w:name="_Toc227671420"/>
      <w:r>
        <w:rPr>
          <w:rFonts w:hint="eastAsia" w:hAnsi="宋体" w:eastAsia="仿宋_GB2312"/>
          <w:sz w:val="32"/>
          <w:szCs w:val="32"/>
        </w:rPr>
        <w:t>三、结论</w:t>
      </w:r>
      <w:bookmarkEnd w:id="15"/>
      <w:r>
        <w:rPr>
          <w:rFonts w:hint="eastAsia" w:hAnsi="宋体" w:eastAsia="仿宋_GB2312"/>
          <w:sz w:val="32"/>
          <w:szCs w:val="32"/>
        </w:rPr>
        <w:t>与下一步工作计划</w:t>
      </w:r>
    </w:p>
    <w:p>
      <w:pPr>
        <w:widowControl/>
        <w:overflowPunct w:val="0"/>
        <w:spacing w:line="360" w:lineRule="auto"/>
        <w:ind w:firstLine="562" w:firstLineChars="200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（一）结论</w:t>
      </w:r>
    </w:p>
    <w:p>
      <w:pPr>
        <w:widowControl/>
        <w:overflowPunct w:val="0"/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1、本项目土地用途调整方案暨永久基本农田补划方案必要、合理可行。该方案可确保花都区范围内永久基本农田数量不减少，质量不降低，永久基本农田补划方案合理可行；</w:t>
      </w:r>
    </w:p>
    <w:p>
      <w:pPr>
        <w:widowControl/>
        <w:overflowPunct w:val="0"/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2、经现场踏勘，本项目占用的永久基本农田实际情况与上表统计情况基本一致。</w:t>
      </w:r>
    </w:p>
    <w:p>
      <w:pPr>
        <w:widowControl/>
        <w:overflowPunct w:val="0"/>
        <w:spacing w:line="360" w:lineRule="auto"/>
        <w:ind w:firstLine="562" w:firstLineChars="200"/>
        <w:rPr>
          <w:rFonts w:eastAsia="仿宋_GB2312"/>
          <w:b/>
          <w:sz w:val="28"/>
        </w:rPr>
      </w:pPr>
      <w:r>
        <w:rPr>
          <w:rFonts w:hint="eastAsia" w:eastAsia="仿宋_GB2312"/>
          <w:b/>
          <w:sz w:val="28"/>
        </w:rPr>
        <w:t>（二）下一步工作计划</w:t>
      </w:r>
    </w:p>
    <w:p>
      <w:pPr>
        <w:widowControl/>
        <w:overflowPunct w:val="0"/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1、优化施工方案，集约用地，减少占用耕地；</w:t>
      </w:r>
    </w:p>
    <w:p>
      <w:pPr>
        <w:widowControl/>
        <w:overflowPunct w:val="0"/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2、实施耕作层剥离再利用；</w:t>
      </w:r>
    </w:p>
    <w:p>
      <w:pPr>
        <w:widowControl/>
        <w:overflowPunct w:val="0"/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3、整合破碎耕地，提高耕地资源的完整性；</w:t>
      </w:r>
    </w:p>
    <w:p>
      <w:pPr>
        <w:widowControl/>
        <w:overflowPunct w:val="0"/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4、加强临时用地的土地复垦工作；</w:t>
      </w:r>
    </w:p>
    <w:p>
      <w:pPr>
        <w:widowControl/>
        <w:overflowPunct w:val="0"/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5、防止永久基本农田保护区域的环境污染；</w:t>
      </w:r>
    </w:p>
    <w:p>
      <w:pPr>
        <w:widowControl/>
        <w:overflowPunct w:val="0"/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>6、加强对补划永久基本农田的监测。</w:t>
      </w:r>
    </w:p>
    <w:p>
      <w:pPr>
        <w:widowControl/>
        <w:overflowPunct w:val="0"/>
        <w:spacing w:line="360" w:lineRule="auto"/>
        <w:ind w:firstLine="560" w:firstLineChars="200"/>
        <w:rPr>
          <w:rFonts w:eastAsia="仿宋_GB2312"/>
          <w:sz w:val="28"/>
        </w:rPr>
      </w:pPr>
    </w:p>
    <w:bookmarkEnd w:id="16"/>
    <w:p>
      <w:pPr>
        <w:pStyle w:val="2"/>
        <w:spacing w:before="0" w:after="0" w:line="360" w:lineRule="auto"/>
        <w:rPr>
          <w:rFonts w:hAnsi="宋体" w:eastAsia="仿宋_GB2312"/>
          <w:sz w:val="32"/>
          <w:szCs w:val="32"/>
        </w:rPr>
      </w:pPr>
      <w:r>
        <w:rPr>
          <w:rFonts w:hint="eastAsia" w:hAnsi="宋体" w:eastAsia="仿宋_GB2312"/>
          <w:sz w:val="32"/>
          <w:szCs w:val="32"/>
        </w:rPr>
        <w:t>附图</w:t>
      </w:r>
    </w:p>
    <w:p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1</w:t>
      </w:r>
      <w:r>
        <w:rPr>
          <w:rFonts w:hint="eastAsia" w:eastAsia="仿宋_GB2312"/>
          <w:sz w:val="28"/>
        </w:rPr>
        <w:t>、花都区占用永久基本农田土地利用总体规划图（修改前）；</w:t>
      </w:r>
    </w:p>
    <w:p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2</w:t>
      </w:r>
      <w:r>
        <w:rPr>
          <w:rFonts w:hint="eastAsia" w:eastAsia="仿宋_GB2312"/>
          <w:sz w:val="28"/>
        </w:rPr>
        <w:t>、花都区占用永久基本农田土地利用总体规划图（修改后）；</w:t>
      </w:r>
    </w:p>
    <w:p>
      <w:pPr>
        <w:spacing w:line="360" w:lineRule="auto"/>
        <w:ind w:firstLine="560" w:firstLineChars="200"/>
        <w:rPr>
          <w:rFonts w:eastAsia="仿宋_GB2312"/>
          <w:sz w:val="28"/>
        </w:rPr>
      </w:pPr>
      <w:r>
        <w:rPr>
          <w:rFonts w:eastAsia="仿宋_GB2312"/>
          <w:sz w:val="28"/>
        </w:rPr>
        <w:t>3</w:t>
      </w:r>
      <w:r>
        <w:rPr>
          <w:rFonts w:hint="eastAsia" w:eastAsia="仿宋_GB2312"/>
          <w:sz w:val="28"/>
        </w:rPr>
        <w:t>、花都区补划永久基本农田土地利用总体规划图（修改前）；</w:t>
      </w:r>
    </w:p>
    <w:p>
      <w:pPr>
        <w:spacing w:line="360" w:lineRule="auto"/>
        <w:ind w:firstLine="560" w:firstLineChars="200"/>
        <w:rPr>
          <w:rFonts w:hint="eastAsia" w:eastAsia="仿宋_GB2312"/>
          <w:sz w:val="28"/>
        </w:rPr>
      </w:pPr>
      <w:r>
        <w:rPr>
          <w:rFonts w:eastAsia="仿宋_GB2312"/>
          <w:sz w:val="28"/>
        </w:rPr>
        <w:t>4</w:t>
      </w:r>
      <w:r>
        <w:rPr>
          <w:rFonts w:hint="eastAsia" w:eastAsia="仿宋_GB2312"/>
          <w:sz w:val="28"/>
        </w:rPr>
        <w:t>、花都区补划永久基本农田土地利用总体规划图（修改后）。</w:t>
      </w:r>
    </w:p>
    <w:sectPr>
      <w:headerReference r:id="rId7" w:type="default"/>
      <w:pgSz w:w="11906" w:h="16838"/>
      <w:pgMar w:top="1440" w:right="1797" w:bottom="1440" w:left="1797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  <w:p>
    <w:pPr>
      <w:pStyle w:val="6"/>
      <w:jc w:val="center"/>
    </w:pPr>
    <w:r>
      <w:rPr>
        <w:rStyle w:val="10"/>
      </w:rPr>
      <w:fldChar w:fldCharType="begin"/>
    </w:r>
    <w:r>
      <w:rPr>
        <w:rStyle w:val="10"/>
      </w:rPr>
      <w:instrText xml:space="preserve"> PAGE </w:instrText>
    </w:r>
    <w:r>
      <w:rPr>
        <w:rStyle w:val="10"/>
      </w:rPr>
      <w:fldChar w:fldCharType="separate"/>
    </w:r>
    <w:r>
      <w:rPr>
        <w:rStyle w:val="10"/>
      </w:rPr>
      <w:t>4</w:t>
    </w:r>
    <w:r>
      <w:rPr>
        <w:rStyle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szCs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rPr>
        <w:rFonts w:ascii="仿宋_GB2312" w:eastAsia="仿宋_GB2312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lowerRoman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2A"/>
    <w:rsid w:val="001319F4"/>
    <w:rsid w:val="001A1BFF"/>
    <w:rsid w:val="001B624D"/>
    <w:rsid w:val="002E3AF0"/>
    <w:rsid w:val="00344E11"/>
    <w:rsid w:val="00352EF9"/>
    <w:rsid w:val="003567A8"/>
    <w:rsid w:val="003720A2"/>
    <w:rsid w:val="003B7D1D"/>
    <w:rsid w:val="00403FC1"/>
    <w:rsid w:val="00530A20"/>
    <w:rsid w:val="00565116"/>
    <w:rsid w:val="005654AC"/>
    <w:rsid w:val="005B2AA4"/>
    <w:rsid w:val="005C362C"/>
    <w:rsid w:val="005F4F2A"/>
    <w:rsid w:val="006A40BC"/>
    <w:rsid w:val="00740790"/>
    <w:rsid w:val="00752852"/>
    <w:rsid w:val="009815AE"/>
    <w:rsid w:val="00A35A8E"/>
    <w:rsid w:val="00A455D0"/>
    <w:rsid w:val="00A8302A"/>
    <w:rsid w:val="00AA0028"/>
    <w:rsid w:val="00B614D1"/>
    <w:rsid w:val="00C11ADA"/>
    <w:rsid w:val="00C248F3"/>
    <w:rsid w:val="00C36443"/>
    <w:rsid w:val="00CA5351"/>
    <w:rsid w:val="00D950FA"/>
    <w:rsid w:val="00EB414B"/>
    <w:rsid w:val="00ED6553"/>
    <w:rsid w:val="00F1724D"/>
    <w:rsid w:val="00F327C8"/>
    <w:rsid w:val="00F52554"/>
    <w:rsid w:val="00FD6724"/>
    <w:rsid w:val="00FE4AEC"/>
    <w:rsid w:val="0DAC0B4B"/>
    <w:rsid w:val="1AC83657"/>
    <w:rsid w:val="1EB56E51"/>
    <w:rsid w:val="22803D32"/>
    <w:rsid w:val="2BC27261"/>
    <w:rsid w:val="2C440A1C"/>
    <w:rsid w:val="2DE33D46"/>
    <w:rsid w:val="366003CD"/>
    <w:rsid w:val="39D4777E"/>
    <w:rsid w:val="39E85457"/>
    <w:rsid w:val="3B8B295C"/>
    <w:rsid w:val="3F4D2220"/>
    <w:rsid w:val="44CF4D52"/>
    <w:rsid w:val="467E3124"/>
    <w:rsid w:val="6CF41F94"/>
    <w:rsid w:val="75F438A7"/>
    <w:rsid w:val="79A94DAA"/>
    <w:rsid w:val="7F42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lang w:val="zh-CN"/>
    </w:rPr>
  </w:style>
  <w:style w:type="paragraph" w:styleId="3">
    <w:name w:val="heading 3"/>
    <w:basedOn w:val="1"/>
    <w:next w:val="1"/>
    <w:link w:val="1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15"/>
    <w:qFormat/>
    <w:uiPriority w:val="0"/>
    <w:pPr>
      <w:ind w:firstLine="420" w:firstLineChars="200"/>
    </w:pPr>
    <w:rPr>
      <w:lang w:val="zh-CN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标题 1 字符"/>
    <w:basedOn w:val="9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0"/>
      <w:lang w:val="zh-CN" w:eastAsia="zh-CN"/>
    </w:rPr>
  </w:style>
  <w:style w:type="character" w:customStyle="1" w:styleId="12">
    <w:name w:val="标题 3 字符"/>
    <w:basedOn w:val="9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页脚 字符"/>
    <w:basedOn w:val="9"/>
    <w:link w:val="6"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页眉 字符"/>
    <w:basedOn w:val="9"/>
    <w:link w:val="7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正文缩进 字符"/>
    <w:link w:val="4"/>
    <w:qFormat/>
    <w:uiPriority w:val="0"/>
    <w:rPr>
      <w:rFonts w:ascii="Times New Roman" w:hAnsi="Times New Roman" w:eastAsia="宋体" w:cs="Times New Roman"/>
      <w:szCs w:val="20"/>
      <w:lang w:val="zh-CN" w:eastAsia="zh-CN"/>
    </w:rPr>
  </w:style>
  <w:style w:type="character" w:customStyle="1" w:styleId="16">
    <w:name w:val="批注框文本 字符"/>
    <w:basedOn w:val="9"/>
    <w:link w:val="5"/>
    <w:semiHidden/>
    <w:qFormat/>
    <w:uiPriority w:val="99"/>
    <w:rPr>
      <w:kern w:val="2"/>
      <w:sz w:val="18"/>
      <w:szCs w:val="18"/>
    </w:rPr>
  </w:style>
  <w:style w:type="paragraph" w:customStyle="1" w:styleId="17">
    <w:name w:val="Revision"/>
    <w:hidden/>
    <w:semiHidden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438</Words>
  <Characters>2503</Characters>
  <Lines>20</Lines>
  <Paragraphs>5</Paragraphs>
  <TotalTime>61</TotalTime>
  <ScaleCrop>false</ScaleCrop>
  <LinksUpToDate>false</LinksUpToDate>
  <CharactersWithSpaces>2936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2020-06-18T03:01:00Z</dcterms:created>
  <dc:creator>asus</dc:creator>
  <cp:lastModifiedBy>观韬-雷玥霏</cp:lastModifiedBy>
  <dcterms:modified xsi:type="dcterms:W3CDTF">2023-08-28T14:06:17Z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4646BB268B1D4D2B9BED84CB40894503</vt:lpwstr>
  </property>
</Properties>
</file>