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广州市花都区（空港经济区）2022年度第三十批次城镇建设用地（广州空港经济区起步区</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拆迁安置区〔花山安置区〕）</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pStyle w:val="2"/>
        <w:jc w:val="center"/>
        <w:rPr>
          <w:del w:id="0" w:author="陈湘鹏" w:date="2023-12-04T11:34:43Z"/>
          <w:rFonts w:hint="eastAsia"/>
          <w:color w:val="auto"/>
          <w:lang w:eastAsia="zh-CN"/>
        </w:rPr>
      </w:pPr>
      <w:del w:id="1" w:author="陈湘鹏" w:date="2023-12-04T11:34:43Z">
        <w:r>
          <w:rPr>
            <w:rFonts w:hint="eastAsia" w:ascii="仿宋_GB2312" w:hAnsi="仿宋_GB2312" w:eastAsia="仿宋_GB2312" w:cs="仿宋_GB2312"/>
            <w:color w:val="auto"/>
            <w:sz w:val="32"/>
            <w:szCs w:val="32"/>
            <w:lang w:eastAsia="zh-CN"/>
          </w:rPr>
          <w:delText>（</w:delText>
        </w:r>
      </w:del>
      <w:del w:id="2" w:author="陈湘鹏" w:date="2023-12-04T11:34:43Z">
        <w:r>
          <w:rPr>
            <w:rFonts w:hint="eastAsia" w:ascii="仿宋_GB2312" w:hAnsi="仿宋_GB2312" w:eastAsia="仿宋_GB2312" w:cs="仿宋_GB2312"/>
            <w:color w:val="auto"/>
            <w:sz w:val="32"/>
            <w:szCs w:val="32"/>
            <w:lang w:val="en-US" w:eastAsia="zh-CN"/>
          </w:rPr>
          <w:delText>代拟稿</w:delText>
        </w:r>
      </w:del>
      <w:del w:id="3" w:author="陈湘鹏" w:date="2023-12-04T11:34:43Z">
        <w:r>
          <w:rPr>
            <w:rFonts w:hint="eastAsia" w:ascii="仿宋_GB2312" w:hAnsi="仿宋_GB2312" w:eastAsia="仿宋_GB2312" w:cs="仿宋_GB2312"/>
            <w:color w:val="auto"/>
            <w:sz w:val="32"/>
            <w:szCs w:val="32"/>
            <w:lang w:eastAsia="zh-CN"/>
          </w:rPr>
          <w:delText>）</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广州市花都区（空港经济区）2022年度第三十批次城镇建设用地（广州空港经济区起步区拆迁安置区〔花山安置区〕）</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广州市花都区（空港经济区）2022年度第三十批次城镇建设用地（广州空港经济区起步区拆迁安置区〔花山安置区〕）</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花山镇平山村、永明村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土地面积共406.5735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已</w:t>
      </w:r>
      <w:r>
        <w:rPr>
          <w:rFonts w:hint="eastAsia" w:ascii="仿宋_GB2312" w:hAnsi="仿宋_GB2312" w:cs="仿宋_GB2312"/>
          <w:color w:val="auto"/>
          <w:kern w:val="2"/>
          <w:highlight w:val="none"/>
          <w:shd w:val="clear" w:color="auto" w:fill="auto"/>
          <w:lang w:eastAsia="zh-CN" w:bidi="ar-SA"/>
        </w:rPr>
        <w:t>于</w:t>
      </w:r>
      <w:r>
        <w:rPr>
          <w:rFonts w:hint="eastAsia" w:ascii="仿宋_GB2312" w:hAnsi="仿宋_GB2312" w:cs="仿宋_GB2312"/>
          <w:color w:val="auto"/>
          <w:kern w:val="2"/>
          <w:highlight w:val="none"/>
          <w:shd w:val="clear" w:color="auto" w:fill="auto"/>
          <w:lang w:val="en-US" w:eastAsia="zh-CN" w:bidi="ar-SA"/>
        </w:rPr>
        <w:t>2022年6月完成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%），需计提资金共</w:t>
      </w:r>
      <w:r>
        <w:rPr>
          <w:rFonts w:hint="eastAsia" w:ascii="仿宋_GB2312" w:hAnsi="仿宋_GB2312" w:cs="仿宋_GB2312"/>
          <w:color w:val="auto"/>
          <w:kern w:val="2"/>
          <w:shd w:val="clear" w:color="auto" w:fill="auto"/>
          <w:lang w:val="en-US" w:eastAsia="zh-CN" w:bidi="ar-SA"/>
        </w:rPr>
        <w:t>870.09</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kern w:val="2"/>
          <w:shd w:val="clear" w:color="auto" w:fill="auto"/>
          <w:lang w:eastAsia="zh-CN" w:bidi="ar-SA"/>
        </w:rPr>
        <w:t>社会保险基金管理办公室</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kern w:val="2"/>
          <w:shd w:val="clear" w:color="auto" w:fill="auto"/>
          <w:lang w:eastAsia="zh-CN" w:bidi="ar-SA"/>
        </w:rPr>
        <w:t>（中国建设银行广州市绿色金融改革创新试验区花都分行，</w:t>
      </w:r>
      <w:r>
        <w:rPr>
          <w:rFonts w:hint="eastAsia" w:ascii="仿宋_GB2312" w:hAnsi="仿宋_GB2312" w:cs="仿宋_GB2312"/>
          <w:color w:val="auto"/>
          <w:kern w:val="2"/>
          <w:shd w:val="clear" w:color="auto" w:fill="auto"/>
          <w:lang w:val="en-US" w:eastAsia="zh-CN" w:bidi="ar-SA"/>
        </w:rPr>
        <w:t>44050155150100002584</w:t>
      </w:r>
      <w:r>
        <w:rPr>
          <w:rFonts w:hint="eastAsia" w:ascii="仿宋_GB2312" w:hAnsi="仿宋_GB2312" w:cs="仿宋_GB2312"/>
          <w:color w:val="auto"/>
          <w:kern w:val="2"/>
          <w:shd w:val="clear" w:color="auto" w:fill="auto"/>
          <w:lang w:eastAsia="zh-CN" w:bidi="ar-SA"/>
        </w:rPr>
        <w:t>）。</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平山村联合经济合作社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224.6295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480.71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永明村第一经济合作社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37.5375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80.34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永明村第三经济合作社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37.0575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79.31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永明村第四经济合作社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107.3490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229.73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406.5735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870.09</w:t>
            </w:r>
          </w:p>
        </w:tc>
      </w:tr>
    </w:tbl>
    <w:p>
      <w:pPr>
        <w:spacing w:line="320" w:lineRule="exact"/>
        <w:ind w:right="210"/>
        <w:jc w:val="left"/>
        <w:rPr>
          <w:sz w:val="24"/>
          <w:szCs w:val="28"/>
        </w:rPr>
      </w:pPr>
      <w:r>
        <w:rPr>
          <w:rFonts w:hint="eastAsia"/>
          <w:sz w:val="24"/>
          <w:szCs w:val="28"/>
          <w:lang w:eastAsia="zh-CN"/>
        </w:rPr>
        <w:t>备注</w:t>
      </w:r>
      <w:r>
        <w:rPr>
          <w:rFonts w:hint="eastAsia"/>
          <w:sz w:val="24"/>
          <w:szCs w:val="28"/>
        </w:rPr>
        <w:t>：</w:t>
      </w:r>
      <w:r>
        <w:rPr>
          <w:rFonts w:hint="eastAsia"/>
          <w:sz w:val="24"/>
          <w:szCs w:val="28"/>
          <w:lang w:eastAsia="zh-CN"/>
        </w:rPr>
        <w:t>该项目按</w:t>
      </w:r>
      <w:r>
        <w:rPr>
          <w:rFonts w:hint="eastAsia"/>
          <w:sz w:val="24"/>
          <w:szCs w:val="28"/>
          <w:lang w:val="en-US" w:eastAsia="zh-CN"/>
        </w:rPr>
        <w:t>2.14万元</w:t>
      </w:r>
      <w:r>
        <w:rPr>
          <w:rFonts w:hint="eastAsia"/>
          <w:sz w:val="24"/>
          <w:szCs w:val="28"/>
        </w:rPr>
        <w:t>/亩</w:t>
      </w:r>
      <w:r>
        <w:rPr>
          <w:rFonts w:hint="eastAsia"/>
          <w:sz w:val="24"/>
          <w:szCs w:val="28"/>
          <w:lang w:eastAsia="zh-CN"/>
        </w:rPr>
        <w:t>的标准计提征地社保费，即：按征地补偿安置方案制定时，花都区平均每亩征收农用地区片综合地价</w:t>
      </w:r>
      <w:r>
        <w:rPr>
          <w:rFonts w:hint="eastAsia"/>
          <w:sz w:val="24"/>
          <w:szCs w:val="28"/>
          <w:lang w:val="en-US" w:eastAsia="zh-CN"/>
        </w:rPr>
        <w:t>13.33万元</w:t>
      </w:r>
      <w:r>
        <w:rPr>
          <w:rFonts w:hint="eastAsia"/>
          <w:sz w:val="24"/>
          <w:szCs w:val="28"/>
        </w:rPr>
        <w:t>/亩</w:t>
      </w:r>
      <w:r>
        <w:rPr>
          <w:rFonts w:hint="eastAsia"/>
          <w:sz w:val="24"/>
          <w:szCs w:val="28"/>
          <w:lang w:eastAsia="zh-CN"/>
        </w:rPr>
        <w:t>的</w:t>
      </w:r>
      <w:r>
        <w:rPr>
          <w:rFonts w:hint="eastAsia"/>
          <w:sz w:val="24"/>
          <w:szCs w:val="28"/>
          <w:lang w:val="en-US" w:eastAsia="zh-CN"/>
        </w:rPr>
        <w:t>16%。</w:t>
      </w:r>
      <w:r>
        <w:rPr>
          <w:sz w:val="24"/>
          <w:szCs w:val="28"/>
        </w:rPr>
        <w:t>属于农村集体经济组织留用地的，</w:t>
      </w:r>
      <w:r>
        <w:rPr>
          <w:rFonts w:hint="eastAsia"/>
          <w:sz w:val="24"/>
          <w:szCs w:val="28"/>
          <w:lang w:eastAsia="zh-CN"/>
        </w:rPr>
        <w:t>按规定</w:t>
      </w:r>
      <w:r>
        <w:rPr>
          <w:sz w:val="24"/>
          <w:szCs w:val="28"/>
        </w:rPr>
        <w:t>不计提征地社保费。</w:t>
      </w:r>
    </w:p>
    <w:p/>
    <w:p>
      <w:pPr>
        <w:pStyle w:val="2"/>
      </w:pPr>
    </w:p>
    <w:p>
      <w:pPr>
        <w:pStyle w:val="3"/>
      </w:pPr>
    </w:p>
    <w:p/>
    <w:p>
      <w:pPr>
        <w:pStyle w:val="2"/>
      </w:pPr>
    </w:p>
    <w:p>
      <w:pPr>
        <w:pStyle w:val="3"/>
      </w:pPr>
    </w:p>
    <w:p/>
    <w:p>
      <w:pPr>
        <w:pStyle w:val="2"/>
      </w:pPr>
    </w:p>
    <w:p>
      <w:pPr>
        <w:rPr>
          <w:ins w:id="4" w:author="陈湘鹏" w:date="2023-12-04T11:35:07Z"/>
          <w:rFonts w:hint="eastAsia" w:ascii="黑体" w:hAnsi="黑体" w:eastAsia="黑体" w:cs="黑体"/>
        </w:rPr>
      </w:pPr>
    </w:p>
    <w:p>
      <w:pPr>
        <w:pStyle w:val="2"/>
        <w:rPr>
          <w:rFonts w:hint="eastAsia"/>
        </w:rPr>
      </w:pPr>
      <w:bookmarkStart w:id="0" w:name="_GoBack"/>
      <w:bookmarkEnd w:id="0"/>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2</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0"/>
          <w:szCs w:val="40"/>
          <w:shd w:val="clear" w:color="auto" w:fill="FFFFFF"/>
          <w:lang w:bidi="ar"/>
        </w:rPr>
      </w:pPr>
      <w:r>
        <w:rPr>
          <w:rFonts w:hint="eastAsia" w:ascii="方正小标宋简体" w:hAnsi="方正小标宋简体" w:eastAsia="方正小标宋简体" w:cs="方正小标宋简体"/>
          <w:color w:val="000000"/>
          <w:spacing w:val="-6"/>
          <w:kern w:val="0"/>
          <w:sz w:val="40"/>
          <w:szCs w:val="40"/>
          <w:u w:val="single"/>
          <w:shd w:val="clear" w:color="auto" w:fill="FFFFFF"/>
          <w:lang w:bidi="ar"/>
        </w:rPr>
        <w:t>广州空港经济区起步区拆迁安置区（花山安置区）</w:t>
      </w:r>
      <w:r>
        <w:rPr>
          <w:rFonts w:hint="eastAsia" w:ascii="方正小标宋简体" w:hAnsi="方正小标宋简体" w:eastAsia="方正小标宋简体" w:cs="方正小标宋简体"/>
          <w:color w:val="000000"/>
          <w:spacing w:val="-6"/>
          <w:kern w:val="0"/>
          <w:sz w:val="40"/>
          <w:szCs w:val="40"/>
          <w:u w:val="single"/>
          <w:shd w:val="clear" w:color="auto" w:fill="FFFFFF"/>
          <w:lang w:val="en-US" w:eastAsia="zh-CN" w:bidi="ar"/>
        </w:rPr>
        <w:t xml:space="preserve">  </w:t>
      </w:r>
      <w:r>
        <w:rPr>
          <w:rFonts w:hint="eastAsia" w:ascii="方正小标宋简体" w:hAnsi="方正小标宋简体" w:eastAsia="方正小标宋简体" w:cs="方正小标宋简体"/>
          <w:color w:val="000000"/>
          <w:spacing w:val="-6"/>
          <w:kern w:val="0"/>
          <w:sz w:val="40"/>
          <w:szCs w:val="40"/>
          <w:shd w:val="clear" w:color="auto" w:fill="FFFFFF"/>
          <w:lang w:bidi="ar"/>
        </w:rPr>
        <w:t>项目涉及被征地村情况</w:t>
      </w:r>
    </w:p>
    <w:p>
      <w:pPr>
        <w:widowControl/>
        <w:shd w:val="clear" w:color="auto" w:fill="FFFFFF"/>
        <w:spacing w:line="580" w:lineRule="exact"/>
        <w:jc w:val="center"/>
        <w:rPr>
          <w:rFonts w:ascii="微软雅黑" w:hAnsi="微软雅黑" w:eastAsia="微软雅黑" w:cs="微软雅黑"/>
          <w:color w:val="000000"/>
          <w:sz w:val="30"/>
          <w:szCs w:val="30"/>
        </w:rPr>
      </w:pPr>
    </w:p>
    <w:p>
      <w:pPr>
        <w:widowControl/>
        <w:shd w:val="clear" w:color="auto" w:fill="FFFFFF"/>
        <w:spacing w:line="580" w:lineRule="exact"/>
        <w:ind w:firstLine="615"/>
        <w:jc w:val="left"/>
        <w:rPr>
          <w:rFonts w:ascii="仿宋_GB2312" w:hAnsi="仿宋_GB2312" w:cs="仿宋_GB2312"/>
          <w:color w:val="000000"/>
          <w:kern w:val="0"/>
          <w:sz w:val="24"/>
          <w:szCs w:val="24"/>
          <w:u w:val="single"/>
          <w:shd w:val="clear" w:color="auto" w:fill="FFFFFF"/>
          <w:lang w:bidi="ar"/>
        </w:rPr>
      </w:pPr>
      <w:r>
        <w:rPr>
          <w:rFonts w:hint="eastAsia" w:ascii="仿宋_GB2312" w:hAnsi="仿宋_GB2312" w:cs="仿宋_GB2312"/>
          <w:color w:val="000000"/>
          <w:kern w:val="0"/>
          <w:sz w:val="24"/>
          <w:szCs w:val="24"/>
          <w:shd w:val="clear" w:color="auto" w:fill="FFFFFF"/>
          <w:lang w:bidi="ar"/>
        </w:rPr>
        <w:t>征地项目名称：</w:t>
      </w:r>
      <w:r>
        <w:rPr>
          <w:rFonts w:hint="eastAsia" w:ascii="仿宋_GB2312" w:hAnsi="仿宋_GB2312" w:cs="仿宋_GB2312"/>
          <w:color w:val="000000"/>
          <w:kern w:val="0"/>
          <w:sz w:val="24"/>
          <w:szCs w:val="24"/>
          <w:u w:val="single"/>
          <w:shd w:val="clear" w:color="auto" w:fill="FFFFFF"/>
          <w:lang w:bidi="ar"/>
        </w:rPr>
        <w:t>广州空港经济区起步区拆迁安置区（花山安置区）</w:t>
      </w:r>
    </w:p>
    <w:p>
      <w:pPr>
        <w:widowControl/>
        <w:shd w:val="clear" w:color="auto" w:fill="FFFFFF"/>
        <w:spacing w:line="580" w:lineRule="exact"/>
        <w:ind w:left="1657" w:leftChars="185" w:hanging="1065" w:hangingChars="444"/>
        <w:jc w:val="left"/>
        <w:rPr>
          <w:rFonts w:ascii="仿宋_GB2312" w:hAnsi="仿宋_GB2312" w:cs="仿宋_GB2312"/>
          <w:color w:val="000000"/>
          <w:kern w:val="0"/>
          <w:sz w:val="24"/>
          <w:szCs w:val="24"/>
          <w:u w:val="single"/>
          <w:shd w:val="clear" w:color="auto" w:fill="FFFFFF"/>
          <w:lang w:bidi="ar"/>
        </w:rPr>
      </w:pPr>
      <w:r>
        <w:rPr>
          <w:rFonts w:hint="eastAsia" w:ascii="仿宋_GB2312" w:hAnsi="仿宋_GB2312" w:cs="仿宋_GB2312"/>
          <w:color w:val="000000"/>
          <w:kern w:val="0"/>
          <w:sz w:val="24"/>
          <w:szCs w:val="24"/>
          <w:shd w:val="clear" w:color="auto" w:fill="FFFFFF"/>
          <w:lang w:bidi="ar"/>
        </w:rPr>
        <w:t>用地单位：</w:t>
      </w:r>
      <w:r>
        <w:rPr>
          <w:rFonts w:ascii="仿宋_GB2312" w:hAnsi="仿宋_GB2312" w:cs="仿宋_GB2312"/>
          <w:color w:val="000000"/>
          <w:kern w:val="0"/>
          <w:sz w:val="24"/>
          <w:szCs w:val="24"/>
          <w:u w:val="single"/>
          <w:shd w:val="clear" w:color="auto" w:fill="FFFFFF"/>
          <w:lang w:bidi="ar"/>
        </w:rPr>
        <w:t>广州空港经济区</w:t>
      </w:r>
      <w:r>
        <w:rPr>
          <w:rFonts w:hint="eastAsia" w:ascii="仿宋_GB2312" w:hAnsi="仿宋_GB2312" w:cs="仿宋_GB2312"/>
          <w:color w:val="000000"/>
          <w:kern w:val="0"/>
          <w:sz w:val="24"/>
          <w:szCs w:val="24"/>
          <w:u w:val="single"/>
          <w:shd w:val="clear" w:color="auto" w:fill="FFFFFF"/>
          <w:lang w:bidi="ar"/>
        </w:rPr>
        <w:t>管理</w:t>
      </w:r>
      <w:r>
        <w:rPr>
          <w:rFonts w:ascii="仿宋_GB2312" w:hAnsi="仿宋_GB2312" w:cs="仿宋_GB2312"/>
          <w:color w:val="000000"/>
          <w:kern w:val="0"/>
          <w:sz w:val="24"/>
          <w:szCs w:val="24"/>
          <w:u w:val="single"/>
          <w:shd w:val="clear" w:color="auto" w:fill="FFFFFF"/>
          <w:lang w:bidi="ar"/>
        </w:rPr>
        <w:t>委员会</w:t>
      </w:r>
    </w:p>
    <w:tbl>
      <w:tblPr>
        <w:tblStyle w:val="6"/>
        <w:tblpPr w:leftFromText="180" w:rightFromText="180" w:vertAnchor="text" w:horzAnchor="page" w:tblpX="1763" w:tblpY="174"/>
        <w:tblOverlap w:val="never"/>
        <w:tblW w:w="8578" w:type="dxa"/>
        <w:tblInd w:w="0" w:type="dxa"/>
        <w:tblLayout w:type="fixed"/>
        <w:tblCellMar>
          <w:top w:w="0" w:type="dxa"/>
          <w:left w:w="0" w:type="dxa"/>
          <w:bottom w:w="0" w:type="dxa"/>
          <w:right w:w="0" w:type="dxa"/>
        </w:tblCellMar>
      </w:tblPr>
      <w:tblGrid>
        <w:gridCol w:w="1184"/>
        <w:gridCol w:w="1173"/>
        <w:gridCol w:w="2182"/>
        <w:gridCol w:w="2293"/>
        <w:gridCol w:w="1746"/>
      </w:tblGrid>
      <w:tr>
        <w:tblPrEx>
          <w:tblCellMar>
            <w:top w:w="0" w:type="dxa"/>
            <w:left w:w="0" w:type="dxa"/>
            <w:bottom w:w="0" w:type="dxa"/>
            <w:right w:w="0" w:type="dxa"/>
          </w:tblCellMar>
        </w:tblPrEx>
        <w:trPr>
          <w:trHeight w:val="1400" w:hRule="atLeast"/>
        </w:trPr>
        <w:tc>
          <w:tcPr>
            <w:tcW w:w="4539"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0" w:lineRule="atLeast"/>
              <w:jc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被征地单位</w:t>
            </w:r>
          </w:p>
        </w:tc>
        <w:tc>
          <w:tcPr>
            <w:tcW w:w="229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0" w:lineRule="atLeast"/>
              <w:jc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家庭拟被征地且属于农村集体经济成员的16岁以上人口数（人）</w:t>
            </w:r>
          </w:p>
        </w:tc>
        <w:tc>
          <w:tcPr>
            <w:tcW w:w="174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0" w:lineRule="atLeast"/>
              <w:jc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拟被征地承包户户数</w:t>
            </w:r>
          </w:p>
        </w:tc>
      </w:tr>
      <w:tr>
        <w:tblPrEx>
          <w:tblCellMar>
            <w:top w:w="0" w:type="dxa"/>
            <w:left w:w="0" w:type="dxa"/>
            <w:bottom w:w="0" w:type="dxa"/>
            <w:right w:w="0" w:type="dxa"/>
          </w:tblCellMar>
        </w:tblPrEx>
        <w:trPr>
          <w:trHeight w:val="845" w:hRule="atLeast"/>
        </w:trPr>
        <w:tc>
          <w:tcPr>
            <w:tcW w:w="1184" w:type="dxa"/>
            <w:vMerge w:val="restart"/>
            <w:tcBorders>
              <w:top w:val="nil"/>
              <w:left w:val="single" w:color="auto" w:sz="8" w:space="0"/>
              <w:right w:val="single" w:color="auto" w:sz="4" w:space="0"/>
            </w:tcBorders>
            <w:tcMar>
              <w:left w:w="108" w:type="dxa"/>
              <w:right w:w="108" w:type="dxa"/>
            </w:tcMar>
            <w:vAlign w:val="center"/>
          </w:tcPr>
          <w:p>
            <w:pPr>
              <w:widowControl/>
              <w:spacing w:line="0" w:lineRule="atLeast"/>
              <w:jc w:val="center"/>
              <w:rPr>
                <w:rFonts w:ascii="仿宋_GB2312" w:hAnsi="宋体"/>
                <w:sz w:val="28"/>
                <w:szCs w:val="28"/>
              </w:rPr>
            </w:pPr>
            <w:r>
              <w:rPr>
                <w:rFonts w:hint="eastAsia" w:ascii="仿宋_GB2312" w:hAnsi="宋体"/>
                <w:sz w:val="28"/>
                <w:szCs w:val="28"/>
              </w:rPr>
              <w:t>花山镇</w:t>
            </w:r>
          </w:p>
        </w:tc>
        <w:tc>
          <w:tcPr>
            <w:tcW w:w="11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0" w:lineRule="atLeast"/>
              <w:jc w:val="center"/>
              <w:rPr>
                <w:rFonts w:ascii="仿宋_GB2312" w:hAnsi="宋体"/>
                <w:sz w:val="28"/>
                <w:szCs w:val="28"/>
              </w:rPr>
            </w:pPr>
            <w:r>
              <w:rPr>
                <w:rFonts w:hint="eastAsia" w:ascii="仿宋_GB2312" w:hAnsi="宋体"/>
                <w:sz w:val="28"/>
                <w:szCs w:val="28"/>
              </w:rPr>
              <w:t>平山村</w:t>
            </w:r>
          </w:p>
        </w:tc>
        <w:tc>
          <w:tcPr>
            <w:tcW w:w="2182"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rFonts w:hint="eastAsia" w:ascii="仿宋_GB2312" w:hAnsi="宋体"/>
                <w:sz w:val="28"/>
                <w:szCs w:val="28"/>
              </w:rPr>
              <w:t>联合经济合作社</w:t>
            </w:r>
          </w:p>
        </w:tc>
        <w:tc>
          <w:tcPr>
            <w:tcW w:w="2293"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rFonts w:hint="eastAsia"/>
                <w:color w:val="000000"/>
                <w:sz w:val="28"/>
                <w:szCs w:val="28"/>
              </w:rPr>
              <w:t>485</w:t>
            </w:r>
          </w:p>
        </w:tc>
        <w:tc>
          <w:tcPr>
            <w:tcW w:w="1746" w:type="dxa"/>
            <w:tcBorders>
              <w:top w:val="nil"/>
              <w:left w:val="nil"/>
              <w:bottom w:val="single" w:color="auto" w:sz="8" w:space="0"/>
              <w:right w:val="single" w:color="auto" w:sz="8" w:space="0"/>
            </w:tcBorders>
            <w:tcMar>
              <w:left w:w="108" w:type="dxa"/>
              <w:right w:w="108" w:type="dxa"/>
            </w:tcMar>
            <w:vAlign w:val="center"/>
          </w:tcPr>
          <w:p>
            <w:pPr>
              <w:pStyle w:val="2"/>
              <w:ind w:firstLine="0" w:firstLineChars="0"/>
              <w:jc w:val="center"/>
            </w:pPr>
            <w:r>
              <w:rPr>
                <w:rFonts w:hint="eastAsia"/>
              </w:rPr>
              <w:t>164</w:t>
            </w:r>
          </w:p>
        </w:tc>
      </w:tr>
      <w:tr>
        <w:tblPrEx>
          <w:tblCellMar>
            <w:top w:w="0" w:type="dxa"/>
            <w:left w:w="0" w:type="dxa"/>
            <w:bottom w:w="0" w:type="dxa"/>
            <w:right w:w="0" w:type="dxa"/>
          </w:tblCellMar>
        </w:tblPrEx>
        <w:trPr>
          <w:trHeight w:val="768" w:hRule="atLeast"/>
        </w:trPr>
        <w:tc>
          <w:tcPr>
            <w:tcW w:w="1184" w:type="dxa"/>
            <w:vMerge w:val="continue"/>
            <w:tcBorders>
              <w:left w:val="single" w:color="auto" w:sz="8" w:space="0"/>
              <w:right w:val="single" w:color="auto" w:sz="4" w:space="0"/>
            </w:tcBorders>
            <w:tcMar>
              <w:left w:w="108" w:type="dxa"/>
              <w:right w:w="108" w:type="dxa"/>
            </w:tcMar>
            <w:vAlign w:val="center"/>
          </w:tcPr>
          <w:p>
            <w:pPr>
              <w:widowControl/>
              <w:spacing w:line="0" w:lineRule="atLeast"/>
              <w:jc w:val="center"/>
              <w:rPr>
                <w:rFonts w:ascii="仿宋_GB2312" w:hAnsi="宋体"/>
                <w:sz w:val="28"/>
                <w:szCs w:val="28"/>
              </w:rPr>
            </w:pPr>
          </w:p>
        </w:tc>
        <w:tc>
          <w:tcPr>
            <w:tcW w:w="1173"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line="0" w:lineRule="atLeast"/>
              <w:jc w:val="center"/>
              <w:rPr>
                <w:rFonts w:ascii="仿宋_GB2312" w:hAnsi="宋体"/>
                <w:sz w:val="28"/>
                <w:szCs w:val="28"/>
              </w:rPr>
            </w:pPr>
            <w:r>
              <w:rPr>
                <w:rFonts w:hint="eastAsia" w:ascii="仿宋_GB2312" w:hAnsi="宋体"/>
                <w:sz w:val="28"/>
                <w:szCs w:val="28"/>
              </w:rPr>
              <w:t>永明村</w:t>
            </w:r>
          </w:p>
        </w:tc>
        <w:tc>
          <w:tcPr>
            <w:tcW w:w="2182"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0" w:lineRule="atLeast"/>
              <w:jc w:val="center"/>
              <w:rPr>
                <w:rFonts w:ascii="仿宋_GB2312" w:hAnsi="宋体"/>
                <w:sz w:val="28"/>
                <w:szCs w:val="28"/>
              </w:rPr>
            </w:pPr>
            <w:r>
              <w:rPr>
                <w:rFonts w:hint="eastAsia" w:ascii="仿宋_GB2312" w:hAnsi="宋体"/>
                <w:sz w:val="28"/>
                <w:szCs w:val="28"/>
              </w:rPr>
              <w:t>第一经济合作社</w:t>
            </w:r>
          </w:p>
        </w:tc>
        <w:tc>
          <w:tcPr>
            <w:tcW w:w="2293"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pPr>
            <w:r>
              <w:rPr>
                <w:rFonts w:hint="eastAsia"/>
              </w:rPr>
              <w:t>250</w:t>
            </w:r>
          </w:p>
        </w:tc>
        <w:tc>
          <w:tcPr>
            <w:tcW w:w="1746" w:type="dxa"/>
            <w:tcBorders>
              <w:top w:val="nil"/>
              <w:left w:val="nil"/>
              <w:bottom w:val="single" w:color="auto" w:sz="8" w:space="0"/>
              <w:right w:val="single" w:color="auto" w:sz="8" w:space="0"/>
            </w:tcBorders>
            <w:tcMar>
              <w:left w:w="108" w:type="dxa"/>
              <w:right w:w="108" w:type="dxa"/>
            </w:tcMar>
            <w:vAlign w:val="center"/>
          </w:tcPr>
          <w:p>
            <w:pPr>
              <w:pStyle w:val="2"/>
              <w:ind w:firstLine="0" w:firstLineChars="0"/>
              <w:jc w:val="center"/>
            </w:pPr>
            <w:r>
              <w:rPr>
                <w:rFonts w:hint="eastAsia"/>
              </w:rPr>
              <w:t>75</w:t>
            </w:r>
          </w:p>
        </w:tc>
      </w:tr>
      <w:tr>
        <w:tblPrEx>
          <w:tblCellMar>
            <w:top w:w="0" w:type="dxa"/>
            <w:left w:w="0" w:type="dxa"/>
            <w:bottom w:w="0" w:type="dxa"/>
            <w:right w:w="0" w:type="dxa"/>
          </w:tblCellMar>
        </w:tblPrEx>
        <w:trPr>
          <w:trHeight w:val="828" w:hRule="atLeast"/>
        </w:trPr>
        <w:tc>
          <w:tcPr>
            <w:tcW w:w="1184" w:type="dxa"/>
            <w:vMerge w:val="continue"/>
            <w:tcBorders>
              <w:left w:val="single" w:color="auto" w:sz="8" w:space="0"/>
              <w:right w:val="single" w:color="auto" w:sz="4" w:space="0"/>
            </w:tcBorders>
            <w:tcMar>
              <w:left w:w="108" w:type="dxa"/>
              <w:right w:w="108" w:type="dxa"/>
            </w:tcMar>
            <w:vAlign w:val="center"/>
          </w:tcPr>
          <w:p>
            <w:pPr>
              <w:widowControl/>
              <w:spacing w:line="0" w:lineRule="atLeast"/>
              <w:jc w:val="center"/>
              <w:rPr>
                <w:rFonts w:ascii="仿宋_GB2312" w:hAnsi="宋体"/>
                <w:sz w:val="28"/>
                <w:szCs w:val="28"/>
              </w:rPr>
            </w:pPr>
          </w:p>
        </w:tc>
        <w:tc>
          <w:tcPr>
            <w:tcW w:w="1173" w:type="dxa"/>
            <w:vMerge w:val="continue"/>
            <w:tcBorders>
              <w:left w:val="single" w:color="auto" w:sz="4" w:space="0"/>
              <w:right w:val="single" w:color="auto" w:sz="4" w:space="0"/>
            </w:tcBorders>
            <w:tcMar>
              <w:left w:w="108" w:type="dxa"/>
              <w:right w:w="108" w:type="dxa"/>
            </w:tcMar>
            <w:vAlign w:val="center"/>
          </w:tcPr>
          <w:p>
            <w:pPr>
              <w:widowControl/>
              <w:spacing w:line="0" w:lineRule="atLeast"/>
              <w:jc w:val="center"/>
              <w:rPr>
                <w:rFonts w:ascii="仿宋_GB2312" w:hAnsi="宋体"/>
                <w:sz w:val="28"/>
                <w:szCs w:val="28"/>
              </w:rPr>
            </w:pPr>
          </w:p>
        </w:tc>
        <w:tc>
          <w:tcPr>
            <w:tcW w:w="2182"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0" w:lineRule="atLeast"/>
              <w:jc w:val="center"/>
              <w:rPr>
                <w:rFonts w:ascii="仿宋_GB2312" w:hAnsi="宋体"/>
                <w:sz w:val="28"/>
                <w:szCs w:val="28"/>
              </w:rPr>
            </w:pPr>
            <w:r>
              <w:rPr>
                <w:rFonts w:hint="eastAsia" w:ascii="仿宋_GB2312" w:hAnsi="宋体"/>
                <w:sz w:val="28"/>
                <w:szCs w:val="28"/>
              </w:rPr>
              <w:t>第三经济合作社</w:t>
            </w:r>
          </w:p>
        </w:tc>
        <w:tc>
          <w:tcPr>
            <w:tcW w:w="2293"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rPr>
                <w:color w:val="000000"/>
                <w:kern w:val="0"/>
                <w:sz w:val="28"/>
                <w:szCs w:val="28"/>
                <w:lang w:bidi="ar"/>
              </w:rPr>
            </w:pPr>
            <w:r>
              <w:rPr>
                <w:rFonts w:hint="eastAsia"/>
                <w:color w:val="000000"/>
                <w:kern w:val="0"/>
                <w:sz w:val="28"/>
                <w:szCs w:val="28"/>
                <w:lang w:bidi="ar"/>
              </w:rPr>
              <w:t>290</w:t>
            </w:r>
          </w:p>
        </w:tc>
        <w:tc>
          <w:tcPr>
            <w:tcW w:w="1746" w:type="dxa"/>
            <w:tcBorders>
              <w:top w:val="nil"/>
              <w:left w:val="nil"/>
              <w:bottom w:val="single" w:color="auto" w:sz="8" w:space="0"/>
              <w:right w:val="single" w:color="auto" w:sz="8" w:space="0"/>
            </w:tcBorders>
            <w:tcMar>
              <w:left w:w="108" w:type="dxa"/>
              <w:right w:w="108" w:type="dxa"/>
            </w:tcMar>
            <w:vAlign w:val="center"/>
          </w:tcPr>
          <w:p>
            <w:pPr>
              <w:pStyle w:val="2"/>
              <w:ind w:firstLine="0" w:firstLineChars="0"/>
              <w:jc w:val="center"/>
            </w:pPr>
            <w:r>
              <w:rPr>
                <w:rFonts w:hint="eastAsia"/>
              </w:rPr>
              <w:t>105</w:t>
            </w:r>
          </w:p>
        </w:tc>
      </w:tr>
      <w:tr>
        <w:tblPrEx>
          <w:tblCellMar>
            <w:top w:w="0" w:type="dxa"/>
            <w:left w:w="0" w:type="dxa"/>
            <w:bottom w:w="0" w:type="dxa"/>
            <w:right w:w="0" w:type="dxa"/>
          </w:tblCellMar>
        </w:tblPrEx>
        <w:trPr>
          <w:trHeight w:val="760" w:hRule="atLeast"/>
        </w:trPr>
        <w:tc>
          <w:tcPr>
            <w:tcW w:w="1184" w:type="dxa"/>
            <w:vMerge w:val="continue"/>
            <w:tcBorders>
              <w:left w:val="single" w:color="auto" w:sz="8" w:space="0"/>
              <w:bottom w:val="single" w:color="auto" w:sz="8" w:space="0"/>
              <w:right w:val="single" w:color="auto" w:sz="4" w:space="0"/>
            </w:tcBorders>
            <w:tcMar>
              <w:left w:w="108" w:type="dxa"/>
              <w:right w:w="108" w:type="dxa"/>
            </w:tcMar>
            <w:vAlign w:val="center"/>
          </w:tcPr>
          <w:p>
            <w:pPr>
              <w:widowControl/>
              <w:spacing w:line="0" w:lineRule="atLeast"/>
              <w:jc w:val="center"/>
              <w:rPr>
                <w:color w:val="000000"/>
                <w:kern w:val="0"/>
                <w:sz w:val="28"/>
                <w:szCs w:val="28"/>
                <w:lang w:bidi="ar"/>
              </w:rPr>
            </w:pPr>
          </w:p>
        </w:tc>
        <w:tc>
          <w:tcPr>
            <w:tcW w:w="1173"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line="0" w:lineRule="atLeast"/>
              <w:jc w:val="center"/>
              <w:rPr>
                <w:color w:val="000000"/>
                <w:kern w:val="0"/>
                <w:sz w:val="28"/>
                <w:szCs w:val="28"/>
                <w:lang w:bidi="ar"/>
              </w:rPr>
            </w:pPr>
          </w:p>
        </w:tc>
        <w:tc>
          <w:tcPr>
            <w:tcW w:w="2182"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0" w:lineRule="atLeast"/>
              <w:jc w:val="center"/>
              <w:rPr>
                <w:rFonts w:ascii="仿宋_GB2312" w:hAnsi="宋体"/>
                <w:sz w:val="28"/>
                <w:szCs w:val="28"/>
              </w:rPr>
            </w:pPr>
            <w:r>
              <w:rPr>
                <w:rFonts w:hint="eastAsia" w:ascii="仿宋_GB2312" w:hAnsi="宋体"/>
                <w:sz w:val="28"/>
                <w:szCs w:val="28"/>
              </w:rPr>
              <w:t>第四经济合作社</w:t>
            </w:r>
          </w:p>
        </w:tc>
        <w:tc>
          <w:tcPr>
            <w:tcW w:w="2293"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rFonts w:hint="eastAsia"/>
                <w:color w:val="000000"/>
                <w:sz w:val="28"/>
                <w:szCs w:val="28"/>
              </w:rPr>
              <w:t>290</w:t>
            </w:r>
          </w:p>
        </w:tc>
        <w:tc>
          <w:tcPr>
            <w:tcW w:w="1746"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rFonts w:hint="eastAsia"/>
                <w:color w:val="000000"/>
                <w:sz w:val="28"/>
                <w:szCs w:val="28"/>
              </w:rPr>
              <w:t>85</w:t>
            </w:r>
          </w:p>
        </w:tc>
      </w:tr>
      <w:tr>
        <w:tblPrEx>
          <w:tblCellMar>
            <w:top w:w="0" w:type="dxa"/>
            <w:left w:w="0" w:type="dxa"/>
            <w:bottom w:w="0" w:type="dxa"/>
            <w:right w:w="0" w:type="dxa"/>
          </w:tblCellMar>
        </w:tblPrEx>
        <w:trPr>
          <w:trHeight w:val="764" w:hRule="atLeast"/>
        </w:trPr>
        <w:tc>
          <w:tcPr>
            <w:tcW w:w="4539"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color w:val="000000"/>
                <w:kern w:val="0"/>
                <w:sz w:val="28"/>
                <w:szCs w:val="28"/>
                <w:lang w:bidi="ar"/>
              </w:rPr>
              <w:t>合计</w:t>
            </w:r>
          </w:p>
        </w:tc>
        <w:tc>
          <w:tcPr>
            <w:tcW w:w="2293"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rFonts w:hint="eastAsia"/>
                <w:color w:val="000000"/>
                <w:sz w:val="28"/>
                <w:szCs w:val="28"/>
              </w:rPr>
              <w:t>1</w:t>
            </w:r>
            <w:r>
              <w:rPr>
                <w:color w:val="000000"/>
                <w:sz w:val="28"/>
                <w:szCs w:val="28"/>
              </w:rPr>
              <w:t>315</w:t>
            </w:r>
          </w:p>
        </w:tc>
        <w:tc>
          <w:tcPr>
            <w:tcW w:w="1746" w:type="dxa"/>
            <w:tcBorders>
              <w:top w:val="nil"/>
              <w:left w:val="nil"/>
              <w:bottom w:val="single" w:color="auto" w:sz="8" w:space="0"/>
              <w:right w:val="single" w:color="auto" w:sz="8" w:space="0"/>
            </w:tcBorders>
            <w:tcMar>
              <w:left w:w="108" w:type="dxa"/>
              <w:right w:w="108" w:type="dxa"/>
            </w:tcMar>
            <w:vAlign w:val="center"/>
          </w:tcPr>
          <w:p>
            <w:pPr>
              <w:widowControl/>
              <w:spacing w:line="0" w:lineRule="atLeast"/>
              <w:jc w:val="center"/>
              <w:rPr>
                <w:color w:val="000000"/>
                <w:sz w:val="28"/>
                <w:szCs w:val="28"/>
              </w:rPr>
            </w:pPr>
            <w:r>
              <w:rPr>
                <w:rFonts w:hint="eastAsia"/>
                <w:color w:val="000000"/>
                <w:sz w:val="28"/>
                <w:szCs w:val="28"/>
              </w:rPr>
              <w:t>4</w:t>
            </w:r>
            <w:r>
              <w:rPr>
                <w:color w:val="000000"/>
                <w:sz w:val="28"/>
                <w:szCs w:val="28"/>
              </w:rPr>
              <w:t>29</w:t>
            </w:r>
          </w:p>
        </w:tc>
      </w:tr>
    </w:tbl>
    <w:p>
      <w:pPr>
        <w:shd w:val="clear" w:color="auto" w:fill="FFFFFF"/>
        <w:spacing w:line="520" w:lineRule="exact"/>
        <w:ind w:firstLine="960" w:firstLineChars="400"/>
        <w:jc w:val="left"/>
        <w:rPr>
          <w:rFonts w:hint="eastAsia"/>
          <w:bCs/>
          <w:kern w:val="0"/>
          <w:sz w:val="24"/>
          <w:szCs w:val="24"/>
          <w:shd w:val="clear" w:color="auto" w:fill="FFFFFF"/>
        </w:rPr>
      </w:pPr>
      <w:r>
        <w:rPr>
          <w:rFonts w:hint="eastAsia"/>
          <w:bCs/>
          <w:kern w:val="0"/>
          <w:sz w:val="24"/>
          <w:szCs w:val="24"/>
          <w:shd w:val="clear" w:color="auto" w:fill="FFFFFF"/>
        </w:rPr>
        <w:t>备注</w:t>
      </w:r>
      <w:r>
        <w:rPr>
          <w:bCs/>
          <w:kern w:val="0"/>
          <w:sz w:val="24"/>
          <w:szCs w:val="24"/>
          <w:shd w:val="clear" w:color="auto" w:fill="FFFFFF"/>
        </w:rPr>
        <w:t>农村集体经济组织</w:t>
      </w:r>
      <w:r>
        <w:rPr>
          <w:rFonts w:hint="eastAsia"/>
          <w:bCs/>
          <w:kern w:val="0"/>
          <w:sz w:val="24"/>
          <w:szCs w:val="24"/>
          <w:shd w:val="clear" w:color="auto" w:fill="FFFFFF"/>
        </w:rPr>
        <w:t>如</w:t>
      </w:r>
      <w:r>
        <w:rPr>
          <w:bCs/>
          <w:kern w:val="0"/>
          <w:sz w:val="24"/>
          <w:szCs w:val="24"/>
          <w:shd w:val="clear" w:color="auto" w:fill="FFFFFF"/>
        </w:rPr>
        <w:t>实行土地股份制经济或者集体统一经营土地</w:t>
      </w:r>
      <w:r>
        <w:rPr>
          <w:rFonts w:hint="eastAsia"/>
          <w:bCs/>
          <w:kern w:val="0"/>
          <w:sz w:val="24"/>
          <w:szCs w:val="24"/>
          <w:shd w:val="clear" w:color="auto" w:fill="FFFFFF"/>
        </w:rPr>
        <w:t>的，</w:t>
      </w:r>
    </w:p>
    <w:p>
      <w:pPr>
        <w:shd w:val="clear" w:color="auto" w:fill="FFFFFF"/>
        <w:spacing w:line="520" w:lineRule="exact"/>
        <w:ind w:firstLine="960" w:firstLineChars="400"/>
        <w:jc w:val="left"/>
        <w:rPr>
          <w:bCs/>
          <w:kern w:val="0"/>
          <w:sz w:val="24"/>
          <w:szCs w:val="24"/>
          <w:shd w:val="clear" w:color="auto" w:fill="FFFFFF"/>
        </w:rPr>
      </w:pPr>
      <w:r>
        <w:rPr>
          <w:rFonts w:hint="eastAsia"/>
          <w:bCs/>
          <w:kern w:val="0"/>
          <w:sz w:val="24"/>
          <w:szCs w:val="24"/>
          <w:shd w:val="clear" w:color="auto" w:fill="FFFFFF"/>
        </w:rPr>
        <w:t>在此表“拟被征地承包户户数”栏说明有关情况。</w:t>
      </w:r>
    </w:p>
    <w:p>
      <w:pPr>
        <w:pStyle w:val="2"/>
        <w:ind w:firstLine="0" w:firstLineChars="0"/>
      </w:pPr>
    </w:p>
    <w:p>
      <w:pPr>
        <w:shd w:val="clear" w:color="auto" w:fill="FFFFFF"/>
        <w:spacing w:line="520" w:lineRule="exact"/>
        <w:ind w:firstLine="612"/>
        <w:jc w:val="center"/>
        <w:rPr>
          <w:rFonts w:ascii="仿宋_GB2312" w:hAnsi="仿宋_GB2312" w:cs="仿宋_GB2312"/>
          <w:color w:val="000000"/>
          <w:kern w:val="0"/>
          <w:sz w:val="24"/>
          <w:szCs w:val="24"/>
          <w:shd w:val="clear" w:color="auto" w:fill="FFFFFF"/>
          <w:lang w:bidi="ar"/>
        </w:rPr>
      </w:pPr>
      <w:r>
        <w:rPr>
          <w:rFonts w:hint="eastAsia" w:ascii="仿宋_GB2312"/>
          <w:sz w:val="24"/>
          <w:szCs w:val="24"/>
          <w:lang w:val="en-US" w:eastAsia="zh-CN"/>
        </w:rPr>
        <w:t xml:space="preserve">                                      </w:t>
      </w:r>
      <w:r>
        <w:rPr>
          <w:rFonts w:hint="eastAsia" w:ascii="仿宋_GB2312"/>
          <w:sz w:val="24"/>
          <w:szCs w:val="24"/>
        </w:rPr>
        <w:t>广州市花都区花山镇人民政府</w:t>
      </w:r>
    </w:p>
    <w:p>
      <w:pPr>
        <w:shd w:val="clear" w:color="auto" w:fill="FFFFFF"/>
        <w:spacing w:line="520" w:lineRule="exact"/>
        <w:ind w:firstLine="6928" w:firstLineChars="2887"/>
        <w:jc w:val="left"/>
        <w:rPr>
          <w:rFonts w:ascii="仿宋_GB2312" w:hAnsi="仿宋_GB2312" w:cs="仿宋_GB2312"/>
          <w:color w:val="000000"/>
          <w:kern w:val="0"/>
          <w:sz w:val="24"/>
          <w:szCs w:val="24"/>
          <w:shd w:val="clear" w:color="auto" w:fill="FFFFFF"/>
          <w:lang w:bidi="ar"/>
        </w:rPr>
      </w:pPr>
      <w:r>
        <w:rPr>
          <w:rFonts w:hint="eastAsia" w:ascii="仿宋_GB2312" w:hAnsi="仿宋_GB2312" w:cs="仿宋_GB2312"/>
          <w:color w:val="000000"/>
          <w:kern w:val="0"/>
          <w:sz w:val="24"/>
          <w:szCs w:val="24"/>
          <w:shd w:val="clear" w:color="auto" w:fill="FFFFFF"/>
          <w:lang w:val="en-US" w:eastAsia="zh-CN" w:bidi="ar"/>
        </w:rPr>
        <w:t>(</w:t>
      </w:r>
      <w:r>
        <w:rPr>
          <w:rFonts w:hint="eastAsia" w:ascii="仿宋_GB2312" w:hAnsi="仿宋_GB2312" w:cs="仿宋_GB2312"/>
          <w:color w:val="000000"/>
          <w:kern w:val="0"/>
          <w:sz w:val="24"/>
          <w:szCs w:val="24"/>
          <w:shd w:val="clear" w:color="auto" w:fill="FFFFFF"/>
          <w:lang w:bidi="ar"/>
        </w:rPr>
        <w:t>盖章）</w:t>
      </w:r>
    </w:p>
    <w:p>
      <w:pPr>
        <w:shd w:val="clear" w:color="auto" w:fill="FFFFFF"/>
        <w:spacing w:line="520" w:lineRule="exact"/>
        <w:ind w:firstLine="4800" w:firstLineChars="2000"/>
        <w:jc w:val="left"/>
        <w:rPr>
          <w:rFonts w:hint="eastAsia" w:ascii="仿宋_GB2312" w:hAnsi="仿宋_GB2312" w:cs="仿宋_GB2312"/>
          <w:color w:val="000000"/>
          <w:kern w:val="0"/>
          <w:sz w:val="24"/>
          <w:szCs w:val="24"/>
          <w:shd w:val="clear" w:color="auto" w:fill="FFFFFF"/>
          <w:lang w:bidi="ar"/>
        </w:rPr>
      </w:pPr>
      <w:r>
        <w:rPr>
          <w:rFonts w:hint="eastAsia" w:ascii="仿宋_GB2312" w:hAnsi="仿宋_GB2312" w:cs="仿宋_GB2312"/>
          <w:color w:val="000000"/>
          <w:kern w:val="0"/>
          <w:sz w:val="24"/>
          <w:szCs w:val="24"/>
          <w:shd w:val="clear" w:color="auto" w:fill="FFFFFF"/>
          <w:lang w:bidi="ar"/>
        </w:rPr>
        <w:t xml:space="preserve">            </w:t>
      </w:r>
      <w:r>
        <w:rPr>
          <w:rFonts w:hint="eastAsia" w:ascii="仿宋_GB2312" w:hAnsi="仿宋_GB2312" w:cs="仿宋_GB2312"/>
          <w:color w:val="000000"/>
          <w:kern w:val="0"/>
          <w:sz w:val="24"/>
          <w:szCs w:val="24"/>
          <w:shd w:val="clear" w:color="auto" w:fill="FFFFFF"/>
          <w:lang w:eastAsia="zh-CN" w:bidi="ar"/>
        </w:rPr>
        <w:t>2</w:t>
      </w:r>
      <w:r>
        <w:rPr>
          <w:rFonts w:hint="eastAsia" w:ascii="仿宋_GB2312" w:hAnsi="仿宋_GB2312" w:cs="仿宋_GB2312"/>
          <w:color w:val="000000"/>
          <w:kern w:val="0"/>
          <w:sz w:val="24"/>
          <w:szCs w:val="24"/>
          <w:shd w:val="clear" w:color="auto" w:fill="FFFFFF"/>
          <w:lang w:val="en-US" w:eastAsia="zh-CN" w:bidi="ar"/>
        </w:rPr>
        <w:t>023</w:t>
      </w:r>
      <w:r>
        <w:rPr>
          <w:rFonts w:hint="eastAsia" w:ascii="仿宋_GB2312" w:hAnsi="仿宋_GB2312" w:cs="仿宋_GB2312"/>
          <w:color w:val="000000"/>
          <w:kern w:val="0"/>
          <w:sz w:val="24"/>
          <w:szCs w:val="24"/>
          <w:shd w:val="clear" w:color="auto" w:fill="FFFFFF"/>
          <w:lang w:bidi="ar"/>
        </w:rPr>
        <w:t xml:space="preserve">年 </w:t>
      </w:r>
      <w:r>
        <w:rPr>
          <w:rFonts w:hint="eastAsia" w:ascii="仿宋_GB2312" w:hAnsi="仿宋_GB2312" w:cs="仿宋_GB2312"/>
          <w:color w:val="000000"/>
          <w:kern w:val="0"/>
          <w:sz w:val="24"/>
          <w:szCs w:val="24"/>
          <w:shd w:val="clear" w:color="auto" w:fill="FFFFFF"/>
          <w:lang w:eastAsia="zh-CN" w:bidi="ar"/>
        </w:rPr>
        <w:t>8</w:t>
      </w:r>
      <w:r>
        <w:rPr>
          <w:rFonts w:hint="eastAsia" w:ascii="仿宋_GB2312" w:hAnsi="仿宋_GB2312" w:cs="仿宋_GB2312"/>
          <w:color w:val="000000"/>
          <w:kern w:val="0"/>
          <w:sz w:val="24"/>
          <w:szCs w:val="24"/>
          <w:shd w:val="clear" w:color="auto" w:fill="FFFFFF"/>
          <w:lang w:bidi="ar"/>
        </w:rPr>
        <w:t>月</w:t>
      </w:r>
      <w:r>
        <w:rPr>
          <w:rFonts w:hint="eastAsia" w:ascii="仿宋_GB2312" w:hAnsi="仿宋_GB2312" w:cs="仿宋_GB2312"/>
          <w:color w:val="000000"/>
          <w:kern w:val="0"/>
          <w:sz w:val="24"/>
          <w:szCs w:val="24"/>
          <w:shd w:val="clear" w:color="auto" w:fill="FFFFFF"/>
          <w:lang w:eastAsia="zh-CN" w:bidi="ar"/>
        </w:rPr>
        <w:t>1</w:t>
      </w:r>
      <w:r>
        <w:rPr>
          <w:rFonts w:hint="eastAsia" w:ascii="仿宋_GB2312" w:hAnsi="仿宋_GB2312" w:cs="仿宋_GB2312"/>
          <w:color w:val="000000"/>
          <w:kern w:val="0"/>
          <w:sz w:val="24"/>
          <w:szCs w:val="24"/>
          <w:shd w:val="clear" w:color="auto" w:fill="FFFFFF"/>
          <w:lang w:val="en-US" w:eastAsia="zh-CN" w:bidi="ar"/>
        </w:rPr>
        <w:t>6</w:t>
      </w:r>
      <w:r>
        <w:rPr>
          <w:rFonts w:hint="eastAsia" w:ascii="仿宋_GB2312" w:hAnsi="仿宋_GB2312" w:cs="仿宋_GB2312"/>
          <w:color w:val="000000"/>
          <w:kern w:val="0"/>
          <w:sz w:val="24"/>
          <w:szCs w:val="24"/>
          <w:shd w:val="clear" w:color="auto" w:fill="FFFFFF"/>
          <w:lang w:bidi="ar"/>
        </w:rPr>
        <w:t>日</w:t>
      </w:r>
    </w:p>
    <w:p>
      <w:pPr>
        <w:pStyle w:val="2"/>
        <w:rPr>
          <w:sz w:val="24"/>
          <w:szCs w:val="24"/>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C1E49CC"/>
    <w:rsid w:val="0CE91961"/>
    <w:rsid w:val="0E3140D7"/>
    <w:rsid w:val="0F543258"/>
    <w:rsid w:val="12341E88"/>
    <w:rsid w:val="13714D70"/>
    <w:rsid w:val="15CE692B"/>
    <w:rsid w:val="17FF4E37"/>
    <w:rsid w:val="18A233DB"/>
    <w:rsid w:val="19E21F71"/>
    <w:rsid w:val="1B6337E0"/>
    <w:rsid w:val="1C024468"/>
    <w:rsid w:val="1E832ADA"/>
    <w:rsid w:val="20B67655"/>
    <w:rsid w:val="211F0DDA"/>
    <w:rsid w:val="23141564"/>
    <w:rsid w:val="28702BCD"/>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1F51EEC"/>
    <w:rsid w:val="42A07318"/>
    <w:rsid w:val="42AE5403"/>
    <w:rsid w:val="4407663C"/>
    <w:rsid w:val="450C1F37"/>
    <w:rsid w:val="4A8B480A"/>
    <w:rsid w:val="4C363821"/>
    <w:rsid w:val="4E194E4F"/>
    <w:rsid w:val="56293227"/>
    <w:rsid w:val="57B071EF"/>
    <w:rsid w:val="595E5E5B"/>
    <w:rsid w:val="5A666CB6"/>
    <w:rsid w:val="5D7072F6"/>
    <w:rsid w:val="5D722B54"/>
    <w:rsid w:val="5FE43DCD"/>
    <w:rsid w:val="614340C8"/>
    <w:rsid w:val="63353BC0"/>
    <w:rsid w:val="64127CE3"/>
    <w:rsid w:val="64374311"/>
    <w:rsid w:val="65A9621A"/>
    <w:rsid w:val="66177D25"/>
    <w:rsid w:val="69CC140F"/>
    <w:rsid w:val="6F591A1E"/>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2023-12-04T03:35:09Z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00C9920055844A0389763502C84B7144</vt:lpwstr>
  </property>
</Properties>
</file>