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方正小标宋简体"/>
          <w:sz w:val="44"/>
          <w:szCs w:val="44"/>
          <w:lang w:val="en-US" w:eastAsia="zh-CN"/>
        </w:rPr>
      </w:pPr>
    </w:p>
    <w:p>
      <w:pPr>
        <w:pStyle w:val="2"/>
        <w:spacing w:before="0" w:after="0" w:line="400" w:lineRule="exact"/>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方正小标宋简体"/>
          <w:sz w:val="44"/>
          <w:szCs w:val="44"/>
          <w:lang w:val="en-US" w:eastAsia="zh-CN"/>
        </w:rPr>
        <w:t>关于广州市花都区</w:t>
      </w:r>
      <w:r>
        <w:rPr>
          <w:rFonts w:hint="eastAsia" w:ascii="Times New Roman" w:hAnsi="Times New Roman" w:eastAsia="方正小标宋简体" w:cs="Times New Roman"/>
          <w:sz w:val="44"/>
          <w:szCs w:val="44"/>
          <w:highlight w:val="none"/>
          <w:lang w:val="en-US" w:eastAsia="zh-CN"/>
        </w:rPr>
        <w:t>2023年度第十批次城镇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建设用地（广州市第五资源热力电厂垃圾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highlight w:val="none"/>
          <w:lang w:val="en-US" w:eastAsia="zh-CN"/>
        </w:rPr>
      </w:pPr>
      <w:r>
        <w:rPr>
          <w:rFonts w:hint="eastAsia" w:ascii="Times New Roman" w:hAnsi="Times New Roman" w:eastAsia="方正小标宋简体" w:cs="Times New Roman"/>
          <w:sz w:val="44"/>
          <w:szCs w:val="44"/>
          <w:highlight w:val="none"/>
          <w:lang w:val="en-US" w:eastAsia="zh-CN"/>
        </w:rPr>
        <w:t>运输专用道路扩建及二期取水工程）</w:t>
      </w:r>
    </w:p>
    <w:p>
      <w:pPr>
        <w:spacing w:before="0" w:line="534" w:lineRule="exact"/>
        <w:ind w:left="0" w:right="0" w:firstLine="0"/>
        <w:jc w:val="center"/>
        <w:rPr>
          <w:rFonts w:hint="eastAsia" w:ascii="方正小标宋简体" w:hAnsi="方正小标宋简体" w:eastAsia="方正小标宋简体" w:cs="方正小标宋简体"/>
          <w:sz w:val="44"/>
          <w:szCs w:val="44"/>
        </w:rPr>
      </w:pPr>
      <w:r>
        <w:rPr>
          <w:rFonts w:hint="default" w:ascii="Times New Roman" w:hAnsi="Times New Roman" w:eastAsia="方正小标宋简体" w:cs="Times New Roman"/>
          <w:sz w:val="44"/>
          <w:szCs w:val="44"/>
        </w:rPr>
        <w:t>的</w:t>
      </w:r>
      <w:r>
        <w:rPr>
          <w:rFonts w:hint="eastAsia" w:ascii="方正小标宋简体" w:hAnsi="方正小标宋简体" w:eastAsia="方正小标宋简体" w:cs="方正小标宋简体"/>
          <w:sz w:val="44"/>
          <w:szCs w:val="44"/>
        </w:rPr>
        <w:t>征地补偿安置方案</w:t>
      </w:r>
    </w:p>
    <w:p>
      <w:pPr>
        <w:spacing w:before="7" w:line="240" w:lineRule="auto"/>
        <w:rPr>
          <w:rFonts w:ascii="Adobe 黑体 Std R" w:hAnsi="Adobe 黑体 Std R" w:eastAsia="Adobe 黑体 Std R" w:cs="Adobe 黑体 Std R"/>
          <w:sz w:val="34"/>
          <w:szCs w:val="34"/>
        </w:rPr>
      </w:pPr>
    </w:p>
    <w:p>
      <w:pPr>
        <w:pStyle w:val="3"/>
        <w:keepNext w:val="0"/>
        <w:keepLines w:val="0"/>
        <w:pageBreakBefore w:val="0"/>
        <w:widowControl w:val="0"/>
        <w:kinsoku/>
        <w:wordWrap w:val="0"/>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为实施广州市</w:t>
      </w:r>
      <w:r>
        <w:rPr>
          <w:rFonts w:hint="eastAsia" w:ascii="仿宋_GB2312" w:hAnsi="仿宋_GB2312" w:eastAsia="仿宋_GB2312" w:cs="仿宋_GB2312"/>
          <w:spacing w:val="-20"/>
          <w:sz w:val="32"/>
          <w:szCs w:val="32"/>
          <w:lang w:eastAsia="zh-CN"/>
        </w:rPr>
        <w:t>花都</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赤坭镇</w:t>
      </w:r>
      <w:r>
        <w:rPr>
          <w:rFonts w:hint="eastAsia" w:ascii="仿宋_GB2312" w:hAnsi="仿宋_GB2312" w:eastAsia="仿宋_GB2312" w:cs="仿宋_GB2312"/>
          <w:sz w:val="32"/>
          <w:szCs w:val="32"/>
        </w:rPr>
        <w:t>建设规划，完善城市功</w:t>
      </w:r>
      <w:r>
        <w:rPr>
          <w:rFonts w:hint="eastAsia" w:ascii="仿宋_GB2312" w:hAnsi="仿宋_GB2312" w:eastAsia="仿宋_GB2312" w:cs="仿宋_GB2312"/>
          <w:spacing w:val="6"/>
          <w:sz w:val="32"/>
          <w:szCs w:val="32"/>
        </w:rPr>
        <w:t>能</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spacing w:val="6"/>
          <w:sz w:val="32"/>
          <w:szCs w:val="32"/>
        </w:rPr>
        <w:t>改善城市环境，促进经济、文化发展，广州市</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3"/>
          <w:sz w:val="32"/>
          <w:szCs w:val="32"/>
        </w:rPr>
        <w:t>区人</w:t>
      </w:r>
      <w:r>
        <w:rPr>
          <w:rFonts w:hint="eastAsia" w:ascii="仿宋_GB2312" w:hAnsi="仿宋_GB2312" w:eastAsia="仿宋_GB2312" w:cs="仿宋_GB2312"/>
          <w:spacing w:val="5"/>
          <w:sz w:val="32"/>
          <w:szCs w:val="32"/>
        </w:rPr>
        <w:t>民政府拟征收</w:t>
      </w:r>
      <w:r>
        <w:rPr>
          <w:rFonts w:hint="eastAsia" w:ascii="仿宋_GB2312" w:hAnsi="仿宋_GB2312" w:eastAsia="仿宋_GB2312" w:cs="仿宋_GB2312"/>
          <w:spacing w:val="-27"/>
          <w:sz w:val="32"/>
          <w:szCs w:val="32"/>
          <w:lang w:val="en-US" w:eastAsia="zh-CN"/>
        </w:rPr>
        <w:t>赤坭镇白坭瓮缸窑经济合作社、白坭马安岗经济合作社（共有），蓝田新村经济合作社</w:t>
      </w:r>
      <w:r>
        <w:rPr>
          <w:rFonts w:hint="eastAsia" w:ascii="仿宋_GB2312" w:hAnsi="仿宋_GB2312" w:eastAsia="仿宋_GB2312" w:cs="仿宋_GB2312"/>
          <w:spacing w:val="6"/>
          <w:sz w:val="32"/>
          <w:szCs w:val="32"/>
        </w:rPr>
        <w:t>属</w:t>
      </w:r>
      <w:r>
        <w:rPr>
          <w:rFonts w:hint="eastAsia" w:ascii="仿宋_GB2312" w:hAnsi="仿宋_GB2312" w:eastAsia="仿宋_GB2312" w:cs="仿宋_GB2312"/>
          <w:sz w:val="32"/>
          <w:szCs w:val="32"/>
        </w:rPr>
        <w:t>下的集体土地</w:t>
      </w:r>
      <w:r>
        <w:rPr>
          <w:rFonts w:hint="eastAsia" w:ascii="仿宋_GB2312" w:hAnsi="仿宋_GB2312" w:eastAsia="仿宋_GB2312" w:cs="仿宋_GB2312"/>
          <w:sz w:val="32"/>
          <w:szCs w:val="32"/>
          <w:lang w:val="en-US" w:eastAsia="zh-CN"/>
        </w:rPr>
        <w:t>共</w:t>
      </w:r>
      <w:r>
        <w:rPr>
          <w:rFonts w:hint="eastAsia" w:ascii="Times New Roman" w:hAnsi="Times New Roman" w:eastAsia="仿宋_GB2312" w:cs="Times New Roman"/>
          <w:sz w:val="32"/>
          <w:szCs w:val="32"/>
          <w:lang w:val="en-US" w:eastAsia="zh-CN"/>
        </w:rPr>
        <w:t>2.7095</w:t>
      </w:r>
      <w:r>
        <w:rPr>
          <w:rFonts w:hint="default" w:ascii="Times New Roman" w:hAnsi="Times New Roman" w:eastAsia="仿宋_GB2312" w:cs="Times New Roman"/>
          <w:sz w:val="32"/>
          <w:szCs w:val="32"/>
        </w:rPr>
        <w:t>公顷</w:t>
      </w:r>
      <w:r>
        <w:rPr>
          <w:rFonts w:hint="eastAsia" w:ascii="仿宋_GB2312" w:hAnsi="仿宋_GB2312" w:eastAsia="仿宋_GB2312" w:cs="仿宋_GB2312"/>
          <w:sz w:val="32"/>
          <w:szCs w:val="32"/>
        </w:rPr>
        <w:t>。根据《中华人民共和国土地管理法》第二条、第四十五条、第四十七条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《中华人民共和国土地管理法实施条例》第二十七条、第二十八条，以及《广东省</w:t>
      </w:r>
      <w:r>
        <w:rPr>
          <w:rFonts w:hint="eastAsia" w:ascii="仿宋_GB2312" w:hAnsi="仿宋_GB2312" w:eastAsia="仿宋_GB2312" w:cs="仿宋_GB2312"/>
          <w:spacing w:val="6"/>
          <w:sz w:val="32"/>
          <w:szCs w:val="32"/>
        </w:rPr>
        <w:t>土地管理条例》第三十条等规定，结合</w:t>
      </w:r>
      <w:r>
        <w:rPr>
          <w:rFonts w:hint="eastAsia" w:ascii="仿宋_GB2312" w:hAnsi="仿宋_GB2312" w:eastAsia="仿宋_GB2312" w:cs="仿宋_GB2312"/>
          <w:spacing w:val="6"/>
          <w:sz w:val="32"/>
          <w:szCs w:val="32"/>
          <w:lang w:eastAsia="zh-CN"/>
        </w:rPr>
        <w:t>花都</w:t>
      </w:r>
      <w:r>
        <w:rPr>
          <w:rFonts w:hint="eastAsia" w:ascii="仿宋_GB2312" w:hAnsi="仿宋_GB2312" w:eastAsia="仿宋_GB2312" w:cs="仿宋_GB2312"/>
          <w:spacing w:val="5"/>
          <w:sz w:val="32"/>
          <w:szCs w:val="32"/>
        </w:rPr>
        <w:t>区的征收农用地</w:t>
      </w:r>
      <w:r>
        <w:rPr>
          <w:rFonts w:hint="eastAsia" w:ascii="仿宋_GB2312" w:hAnsi="仿宋_GB2312" w:eastAsia="仿宋_GB2312" w:cs="仿宋_GB2312"/>
          <w:sz w:val="32"/>
          <w:szCs w:val="32"/>
        </w:rPr>
        <w:t>区片综合地价和实际情况，拟定了征地补偿安置方案，具体如下：</w:t>
      </w:r>
    </w:p>
    <w:p>
      <w:pPr>
        <w:pStyle w:val="3"/>
        <w:keepNext w:val="0"/>
        <w:keepLines w:val="0"/>
        <w:pageBreakBefore w:val="0"/>
        <w:widowControl w:val="0"/>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一、征收范围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r>
        <w:rPr>
          <w:rFonts w:hint="eastAsia" w:ascii="Times New Roman" w:hAnsi="Times New Roman" w:eastAsia="仿宋_GB2312" w:cs="Times New Roman"/>
          <w:sz w:val="32"/>
          <w:szCs w:val="32"/>
          <w:lang w:val="en-US" w:eastAsia="zh-CN"/>
        </w:rPr>
        <w:t>赤坭镇白坭瓮缸窑经济合作社、白坭马安岗经济合作社（共有），蓝田新村经济合作社</w:t>
      </w:r>
      <w:r>
        <w:rPr>
          <w:rFonts w:hint="default" w:ascii="Times New Roman" w:hAnsi="Times New Roman" w:eastAsia="仿宋_GB2312" w:cs="Times New Roman"/>
          <w:sz w:val="32"/>
          <w:szCs w:val="32"/>
        </w:rPr>
        <w:t>范围内</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具体位置详见附图</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实际征收土地范围以最终批准文件为准。</w:t>
      </w:r>
    </w:p>
    <w:p>
      <w:pPr>
        <w:pStyle w:val="3"/>
        <w:keepNext w:val="0"/>
        <w:keepLines w:val="0"/>
        <w:pageBreakBefore w:val="0"/>
        <w:widowControl w:val="0"/>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二、征收目的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根据《中华人民共和国土地管理法》第四十五条的规定，本次征收土地目的为了公共利益的需要，</w:t>
      </w:r>
      <w:r>
        <w:rPr>
          <w:rFonts w:hint="default" w:ascii="Times New Roman" w:hAnsi="Times New Roman" w:eastAsia="仿宋_GB2312" w:cs="Times New Roman"/>
          <w:color w:val="auto"/>
          <w:sz w:val="32"/>
          <w:szCs w:val="32"/>
          <w:highlight w:val="none"/>
        </w:rPr>
        <w:t>由政府组织实施的能源、交通、水利、通信、邮政等基础设施建设需要用地</w:t>
      </w:r>
      <w:r>
        <w:rPr>
          <w:rFonts w:hint="default" w:ascii="Times New Roman" w:hAnsi="Times New Roman" w:eastAsia="仿宋_GB2312" w:cs="Times New Roman"/>
          <w:sz w:val="32"/>
          <w:szCs w:val="32"/>
        </w:rPr>
        <w:t>，拟征收土地规划用途</w:t>
      </w:r>
      <w:r>
        <w:rPr>
          <w:rFonts w:hint="default" w:ascii="Times New Roman" w:hAnsi="Times New Roman" w:eastAsia="仿宋_GB2312" w:cs="Times New Roman"/>
          <w:sz w:val="32"/>
          <w:szCs w:val="32"/>
          <w:highlight w:val="none"/>
        </w:rPr>
        <w:t>为</w:t>
      </w:r>
      <w:r>
        <w:rPr>
          <w:rFonts w:hint="eastAsia" w:ascii="Times New Roman" w:hAnsi="Times New Roman" w:eastAsia="仿宋_GB2312" w:cs="Times New Roman"/>
          <w:sz w:val="32"/>
          <w:szCs w:val="32"/>
          <w:highlight w:val="none"/>
          <w:lang w:val="en-US" w:eastAsia="zh-CN"/>
        </w:rPr>
        <w:t>交通运输用地</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rPr>
        <w:t>用地报批组卷批次号为广州市花都区202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年度第</w:t>
      </w:r>
      <w:r>
        <w:rPr>
          <w:rFonts w:hint="eastAsia" w:ascii="Times New Roman" w:hAnsi="Times New Roman" w:eastAsia="仿宋_GB2312" w:cs="Times New Roman"/>
          <w:sz w:val="32"/>
          <w:szCs w:val="32"/>
          <w:lang w:val="en-US" w:eastAsia="zh-CN"/>
        </w:rPr>
        <w:t>十</w:t>
      </w:r>
      <w:r>
        <w:rPr>
          <w:rFonts w:hint="default" w:ascii="Times New Roman" w:hAnsi="Times New Roman" w:eastAsia="仿宋_GB2312" w:cs="Times New Roman"/>
          <w:sz w:val="32"/>
          <w:szCs w:val="32"/>
        </w:rPr>
        <w:t>批次城镇建设用地。</w:t>
      </w:r>
    </w:p>
    <w:p>
      <w:pPr>
        <w:pStyle w:val="3"/>
        <w:keepNext w:val="0"/>
        <w:keepLines w:val="0"/>
        <w:pageBreakBefore w:val="0"/>
        <w:widowControl w:val="0"/>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三、土地现状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拟征收广州市花都区</w:t>
      </w:r>
      <w:r>
        <w:rPr>
          <w:rFonts w:hint="eastAsia" w:ascii="Times New Roman" w:hAnsi="Times New Roman" w:eastAsia="仿宋_GB2312" w:cs="Times New Roman"/>
          <w:sz w:val="32"/>
          <w:szCs w:val="32"/>
          <w:lang w:val="en-US" w:eastAsia="zh-CN"/>
        </w:rPr>
        <w:t>赤坭镇白坭瓮缸窑经济合作社、白坭马安岗经济合作社（共有）属下的集体所有土地0.1766公顷（2.6490亩）。不涉及农用地；涉及建设用地0.1766公顷（2.6490亩）；不涉及未利用地；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（二）拟征收广州市花都区赤坭镇蓝田新村经济合作社</w:t>
      </w:r>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r>
        <w:rPr>
          <w:rFonts w:hint="eastAsia" w:ascii="Times New Roman" w:hAnsi="Times New Roman" w:eastAsia="仿宋_GB2312" w:cs="Times New Roman"/>
          <w:sz w:val="32"/>
          <w:szCs w:val="32"/>
          <w:lang w:val="en-US" w:eastAsia="zh-CN"/>
        </w:rPr>
        <w:t>共2.5329</w:t>
      </w:r>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37.9935</w:t>
      </w:r>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r>
        <w:rPr>
          <w:rFonts w:hint="eastAsia" w:ascii="Times New Roman" w:hAnsi="Times New Roman" w:eastAsia="仿宋_GB2312" w:cs="Times New Roman"/>
          <w:sz w:val="32"/>
          <w:szCs w:val="32"/>
          <w:highlight w:val="none"/>
          <w:lang w:val="en-US" w:eastAsia="zh-CN"/>
        </w:rPr>
        <w:t>0.1058</w:t>
      </w:r>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1.5870</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耕地</w:t>
      </w:r>
      <w:r>
        <w:rPr>
          <w:rFonts w:hint="eastAsia" w:ascii="Times New Roman" w:hAnsi="Times New Roman" w:eastAsia="仿宋_GB2312" w:cs="Times New Roman"/>
          <w:sz w:val="32"/>
          <w:szCs w:val="32"/>
          <w:lang w:val="en-US" w:eastAsia="zh-CN"/>
        </w:rPr>
        <w:t>0.0131公顷（0.1965亩）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建设用地</w:t>
      </w:r>
      <w:r>
        <w:rPr>
          <w:rFonts w:hint="eastAsia" w:ascii="Times New Roman" w:hAnsi="Times New Roman" w:eastAsia="仿宋_GB2312" w:cs="Times New Roman"/>
          <w:sz w:val="32"/>
          <w:szCs w:val="32"/>
          <w:lang w:val="en-US" w:eastAsia="zh-CN"/>
        </w:rPr>
        <w:t>2.4271</w:t>
      </w:r>
      <w:r>
        <w:rPr>
          <w:rFonts w:hint="default" w:ascii="Times New Roman" w:hAnsi="Times New Roman" w:eastAsia="仿宋_GB2312" w:cs="Times New Roman"/>
          <w:sz w:val="32"/>
          <w:szCs w:val="32"/>
        </w:rPr>
        <w:t>公顷（</w:t>
      </w:r>
      <w:r>
        <w:rPr>
          <w:rFonts w:hint="eastAsia" w:ascii="Times New Roman" w:hAnsi="Times New Roman" w:eastAsia="仿宋_GB2312" w:cs="Times New Roman"/>
          <w:sz w:val="32"/>
          <w:szCs w:val="32"/>
          <w:lang w:val="en-US" w:eastAsia="zh-CN"/>
        </w:rPr>
        <w:t>36.4065</w:t>
      </w:r>
      <w:r>
        <w:rPr>
          <w:rFonts w:hint="default" w:ascii="Times New Roman" w:hAnsi="Times New Roman" w:eastAsia="仿宋_GB2312" w:cs="Times New Roman"/>
          <w:sz w:val="32"/>
          <w:szCs w:val="32"/>
        </w:rPr>
        <w:t>亩）</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不涉及</w:t>
      </w:r>
      <w:r>
        <w:rPr>
          <w:rFonts w:hint="eastAsia" w:ascii="Times New Roman" w:hAnsi="Times New Roman" w:eastAsia="仿宋_GB2312" w:cs="Times New Roman"/>
          <w:sz w:val="32"/>
          <w:szCs w:val="32"/>
          <w:lang w:eastAsia="zh-CN"/>
        </w:rPr>
        <w:t>未利用地</w:t>
      </w:r>
      <w:r>
        <w:rPr>
          <w:rFonts w:hint="default" w:ascii="Times New Roman" w:hAnsi="Times New Roman" w:eastAsia="仿宋_GB2312" w:cs="Times New Roman"/>
          <w:sz w:val="32"/>
          <w:szCs w:val="32"/>
          <w:lang w:eastAsia="zh-CN"/>
        </w:rPr>
        <w:t>。</w:t>
      </w:r>
    </w:p>
    <w:p>
      <w:pPr>
        <w:pStyle w:val="3"/>
        <w:keepNext w:val="0"/>
        <w:keepLines w:val="0"/>
        <w:pageBreakBefore w:val="0"/>
        <w:widowControl w:val="0"/>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四、补偿方式和标准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（一）土地补偿费和安置补助费标准。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广东省自然资源厅关于广州市征收农用地区片综合地价成果的批复</w:t>
      </w:r>
      <w:r>
        <w:rPr>
          <w:rFonts w:ascii="Times New Roman" w:hAnsi="Times New Roman" w:eastAsia="仿宋_GB2312" w:cs="Times New Roman"/>
          <w:sz w:val="32"/>
          <w:szCs w:val="32"/>
        </w:rPr>
        <w:t>》（粤自然资函</w:t>
      </w:r>
      <w:r>
        <w:rPr>
          <w:rFonts w:ascii="Times New Roman" w:hAnsi="Times New Roman" w:eastAsia="仿宋" w:cs="Times New Roman"/>
          <w:sz w:val="32"/>
          <w:szCs w:val="32"/>
        </w:rPr>
        <w:t>〔2021〕</w:t>
      </w:r>
      <w:r>
        <w:rPr>
          <w:rFonts w:ascii="Times New Roman" w:hAnsi="Times New Roman" w:eastAsia="仿宋_GB2312" w:cs="Times New Roman"/>
          <w:sz w:val="32"/>
          <w:szCs w:val="32"/>
        </w:rPr>
        <w:t>196号）</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highlight w:val="none"/>
        </w:rPr>
        <w:t>农用地土地补偿</w:t>
      </w:r>
      <w:r>
        <w:rPr>
          <w:rFonts w:hint="eastAsia" w:ascii="Times New Roman" w:hAnsi="Times New Roman" w:eastAsia="仿宋_GB2312" w:cs="Times New Roman"/>
          <w:sz w:val="32"/>
          <w:szCs w:val="32"/>
          <w:highlight w:val="none"/>
          <w:lang w:val="en-US" w:eastAsia="zh-CN"/>
        </w:rPr>
        <w:t>标准为</w:t>
      </w:r>
      <w:r>
        <w:rPr>
          <w:rFonts w:hint="default" w:ascii="Times New Roman" w:hAnsi="Times New Roman" w:eastAsia="仿宋_GB2312" w:cs="Times New Roman"/>
          <w:sz w:val="32"/>
          <w:szCs w:val="32"/>
          <w:highlight w:val="none"/>
        </w:rPr>
        <w:t>82.5万元/公顷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安置补助</w:t>
      </w:r>
      <w:r>
        <w:rPr>
          <w:rFonts w:hint="eastAsia" w:ascii="Times New Roman" w:hAnsi="Times New Roman" w:eastAsia="仿宋_GB2312" w:cs="Times New Roman"/>
          <w:sz w:val="32"/>
          <w:szCs w:val="32"/>
          <w:highlight w:val="none"/>
          <w:lang w:val="en-US" w:eastAsia="zh-CN"/>
        </w:rPr>
        <w:t>标准为</w:t>
      </w:r>
      <w:r>
        <w:rPr>
          <w:rFonts w:hint="default" w:ascii="Times New Roman" w:hAnsi="Times New Roman" w:eastAsia="仿宋_GB2312" w:cs="Times New Roman"/>
          <w:sz w:val="32"/>
          <w:szCs w:val="32"/>
          <w:highlight w:val="none"/>
        </w:rPr>
        <w:t>82.5万元/公顷</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建设用地和未利用地</w:t>
      </w:r>
      <w:r>
        <w:rPr>
          <w:rFonts w:hint="eastAsia" w:ascii="Times New Roman" w:hAnsi="Times New Roman" w:eastAsia="仿宋_GB2312" w:cs="Times New Roman"/>
          <w:sz w:val="32"/>
          <w:szCs w:val="32"/>
          <w:highlight w:val="none"/>
          <w:lang w:val="en-US" w:eastAsia="zh-CN"/>
        </w:rPr>
        <w:t>土地补偿标准为</w:t>
      </w:r>
      <w:r>
        <w:rPr>
          <w:rFonts w:hint="default" w:ascii="Times New Roman" w:hAnsi="Times New Roman" w:eastAsia="仿宋_GB2312" w:cs="Times New Roman"/>
          <w:sz w:val="32"/>
          <w:szCs w:val="32"/>
          <w:highlight w:val="none"/>
        </w:rPr>
        <w:t>165万元/公顷</w:t>
      </w:r>
      <w:bookmarkStart w:id="0" w:name="_GoBack"/>
      <w:bookmarkEnd w:id="0"/>
      <w:r>
        <w:rPr>
          <w:rFonts w:hint="default" w:ascii="Times New Roman" w:hAnsi="Times New Roman" w:eastAsia="仿宋_GB2312" w:cs="Times New Roman"/>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lang w:val="en-US" w:eastAsia="zh-CN" w:bidi="ar-SA"/>
        </w:rPr>
        <w:t>（二）</w:t>
      </w:r>
      <w:r>
        <w:rPr>
          <w:rFonts w:hint="default" w:ascii="Times New Roman" w:hAnsi="Times New Roman" w:eastAsia="仿宋_GB2312" w:cs="Times New Roman"/>
          <w:color w:val="auto"/>
          <w:sz w:val="32"/>
          <w:szCs w:val="32"/>
          <w:highlight w:val="none"/>
        </w:rPr>
        <w:t>农村村民住宅补偿</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本次征地不涉及农村村民住宅补偿</w:t>
      </w:r>
      <w:r>
        <w:rPr>
          <w:rFonts w:hint="default" w:ascii="Times New Roman" w:hAnsi="Times New Roman" w:eastAsia="仿宋_GB2312" w:cs="Times New Roman"/>
          <w:color w:val="auto"/>
          <w:sz w:val="32"/>
          <w:szCs w:val="32"/>
          <w:highlight w:val="none"/>
          <w:lang w:eastAsia="zh-CN"/>
        </w:rPr>
        <w:t>。</w:t>
      </w:r>
    </w:p>
    <w:p>
      <w:pPr>
        <w:keepNext/>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bidi="ar-SA"/>
        </w:rPr>
        <w:t>（三）</w:t>
      </w:r>
      <w:r>
        <w:rPr>
          <w:rFonts w:hint="default" w:ascii="Times New Roman" w:hAnsi="Times New Roman" w:eastAsia="仿宋_GB2312" w:cs="Times New Roman"/>
          <w:sz w:val="32"/>
          <w:szCs w:val="32"/>
        </w:rPr>
        <w:t>青苗及其他地上附着物补偿</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pPr>
        <w:pStyle w:val="3"/>
        <w:keepNext w:val="0"/>
        <w:keepLines w:val="0"/>
        <w:pageBreakBefore w:val="0"/>
        <w:widowControl w:val="0"/>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五、安置对象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eastAsia"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pPr>
        <w:pStyle w:val="3"/>
        <w:keepNext w:val="0"/>
        <w:keepLines w:val="0"/>
        <w:pageBreakBefore w:val="0"/>
        <w:widowControl w:val="0"/>
        <w:kinsoku/>
        <w:wordWrap/>
        <w:overflowPunct/>
        <w:topLinePunct w:val="0"/>
        <w:autoSpaceDE/>
        <w:autoSpaceDN/>
        <w:bidi w:val="0"/>
        <w:adjustRightInd/>
        <w:snapToGrid/>
        <w:spacing w:before="0" w:line="580" w:lineRule="exact"/>
        <w:ind w:left="0" w:right="0"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六、安置方式和社会保障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（一）货币安置。所需费用已包含在土地补偿安置费中。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color w:val="auto"/>
          <w:sz w:val="32"/>
          <w:szCs w:val="32"/>
          <w:highlight w:val="yellow"/>
        </w:rPr>
      </w:pPr>
      <w:r>
        <w:rPr>
          <w:rFonts w:hint="default" w:ascii="Times New Roman" w:hAnsi="Times New Roman" w:eastAsia="仿宋_GB2312" w:cs="Times New Roman"/>
          <w:sz w:val="32"/>
          <w:szCs w:val="32"/>
        </w:rPr>
        <w:t>（二）留用地安置。根据</w:t>
      </w:r>
      <w:r>
        <w:rPr>
          <w:rFonts w:ascii="Times New Roman" w:hAnsi="Times New Roman" w:eastAsia="仿宋_GB2312" w:cs="Times New Roman"/>
          <w:sz w:val="32"/>
          <w:szCs w:val="32"/>
        </w:rPr>
        <w:t>《广东省征收农村集体土地留用地管理办法》（粤府办〔2009〕41号）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《广东省人民政府办公厅关于加强征收农村集体土地留用地安置管理工作的意见》（粤府办〔2016〕30号）相关规定，</w:t>
      </w:r>
      <w:r>
        <w:rPr>
          <w:rFonts w:hint="default" w:ascii="Times New Roman" w:hAnsi="Times New Roman" w:eastAsia="仿宋_GB2312" w:cs="Times New Roman"/>
          <w:sz w:val="32"/>
          <w:szCs w:val="32"/>
          <w:highlight w:val="none"/>
        </w:rPr>
        <w:t>按实际征收土地面积的</w:t>
      </w:r>
      <w:r>
        <w:rPr>
          <w:rFonts w:hint="default" w:ascii="Times New Roman" w:hAnsi="Times New Roman" w:eastAsia="仿宋_GB2312" w:cs="Times New Roman"/>
          <w:sz w:val="32"/>
          <w:szCs w:val="32"/>
          <w:highlight w:val="none"/>
          <w:lang w:val="en-US" w:eastAsia="zh-CN"/>
        </w:rPr>
        <w:t>10</w:t>
      </w:r>
      <w:r>
        <w:rPr>
          <w:rFonts w:hint="default" w:ascii="Times New Roman" w:hAnsi="Times New Roman" w:eastAsia="仿宋_GB2312" w:cs="Times New Roman"/>
          <w:sz w:val="32"/>
          <w:szCs w:val="32"/>
          <w:highlight w:val="none"/>
        </w:rPr>
        <w:t>%安排留用地，</w:t>
      </w:r>
      <w:r>
        <w:rPr>
          <w:rFonts w:hint="default" w:ascii="Times New Roman" w:hAnsi="Times New Roman" w:eastAsia="仿宋_GB2312" w:cs="Times New Roman"/>
          <w:color w:val="auto"/>
          <w:sz w:val="32"/>
          <w:szCs w:val="32"/>
          <w:highlight w:val="none"/>
        </w:rPr>
        <w:t>留用地兑现方式为</w:t>
      </w:r>
      <w:r>
        <w:rPr>
          <w:rFonts w:hint="default" w:ascii="Times New Roman" w:hAnsi="Times New Roman" w:eastAsia="仿宋_GB2312" w:cs="Times New Roman"/>
          <w:color w:val="auto"/>
          <w:sz w:val="32"/>
          <w:szCs w:val="32"/>
          <w:highlight w:val="none"/>
          <w:lang w:val="en-US" w:eastAsia="zh-CN"/>
        </w:rPr>
        <w:t>折算货币补偿</w:t>
      </w:r>
      <w:r>
        <w:rPr>
          <w:rFonts w:hint="default" w:ascii="Times New Roman" w:hAnsi="Times New Roman" w:eastAsia="仿宋_GB2312"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（三）社会保障费用。根据《广东省人民政府办公厅转发省人力资源社会保障厅关于进一步完善我省被征地农民养老保障政策意见的通知》（粤府办〔2021〕22号）规定，</w:t>
      </w:r>
      <w:r>
        <w:rPr>
          <w:rFonts w:hint="default" w:ascii="Times New Roman" w:hAnsi="Times New Roman" w:eastAsia="仿宋_GB2312" w:cs="Times New Roman"/>
          <w:color w:val="auto"/>
          <w:sz w:val="32"/>
          <w:szCs w:val="32"/>
          <w:highlight w:val="none"/>
        </w:rPr>
        <w:t>核定该项目</w:t>
      </w:r>
      <w:r>
        <w:rPr>
          <w:rFonts w:hint="eastAsia" w:ascii="Times New Roman" w:hAnsi="Times New Roman" w:eastAsia="仿宋_GB2312" w:cs="Times New Roman"/>
          <w:color w:val="auto"/>
          <w:sz w:val="32"/>
          <w:szCs w:val="32"/>
          <w:highlight w:val="none"/>
          <w:lang w:val="en-US" w:eastAsia="zh-CN"/>
        </w:rPr>
        <w:t>涉及应纳入养老保障范围的被征地农民人数共6人，</w:t>
      </w:r>
      <w:r>
        <w:rPr>
          <w:rFonts w:hint="default" w:ascii="Times New Roman" w:hAnsi="Times New Roman" w:eastAsia="仿宋_GB2312" w:cs="Times New Roman"/>
          <w:color w:val="auto"/>
          <w:sz w:val="32"/>
          <w:szCs w:val="32"/>
          <w:highlight w:val="none"/>
        </w:rPr>
        <w:t>按每人16200元标准一次性</w:t>
      </w:r>
      <w:r>
        <w:rPr>
          <w:rFonts w:hint="eastAsia" w:ascii="Times New Roman" w:hAnsi="Times New Roman" w:eastAsia="仿宋_GB2312" w:cs="Times New Roman"/>
          <w:color w:val="auto"/>
          <w:sz w:val="32"/>
          <w:szCs w:val="32"/>
          <w:highlight w:val="none"/>
          <w:lang w:val="en-US" w:eastAsia="zh-CN"/>
        </w:rPr>
        <w:t>将</w:t>
      </w:r>
      <w:r>
        <w:rPr>
          <w:rFonts w:hint="default" w:ascii="Times New Roman" w:hAnsi="Times New Roman" w:eastAsia="仿宋_GB2312" w:cs="Times New Roman"/>
          <w:color w:val="auto"/>
          <w:sz w:val="32"/>
          <w:szCs w:val="32"/>
          <w:highlight w:val="none"/>
        </w:rPr>
        <w:t>集体被征地农民养老保障资金存入“收缴被征地农民养老保障资金过渡户”，费用合计</w:t>
      </w:r>
      <w:r>
        <w:rPr>
          <w:rFonts w:hint="eastAsia" w:ascii="Times New Roman" w:hAnsi="Times New Roman" w:eastAsia="仿宋_GB2312" w:cs="Times New Roman"/>
          <w:color w:val="auto"/>
          <w:sz w:val="32"/>
          <w:szCs w:val="32"/>
          <w:highlight w:val="none"/>
          <w:u w:val="none"/>
          <w:lang w:val="en-US" w:eastAsia="zh-CN"/>
        </w:rPr>
        <w:t>9.72</w:t>
      </w:r>
      <w:r>
        <w:rPr>
          <w:rFonts w:hint="default" w:ascii="Times New Roman" w:hAnsi="Times New Roman" w:eastAsia="仿宋_GB2312" w:cs="Times New Roman"/>
          <w:color w:val="auto"/>
          <w:sz w:val="32"/>
          <w:szCs w:val="32"/>
          <w:highlight w:val="none"/>
        </w:rPr>
        <w:t>万元，</w:t>
      </w:r>
      <w:r>
        <w:rPr>
          <w:rFonts w:hint="default" w:ascii="Times New Roman" w:hAnsi="Times New Roman" w:eastAsia="仿宋_GB2312" w:cs="Times New Roman"/>
          <w:sz w:val="32"/>
          <w:szCs w:val="32"/>
        </w:rPr>
        <w:t>专款用于被征地农民缴纳养老保险费用。征地批准文件批复的实际范围有变化的，费用将做相应调整。</w:t>
      </w:r>
    </w:p>
    <w:p>
      <w:pPr>
        <w:pStyle w:val="3"/>
        <w:widowControl w:val="0"/>
        <w:numPr>
          <w:ilvl w:val="0"/>
          <w:numId w:val="0"/>
        </w:numPr>
        <w:spacing w:before="10" w:after="0" w:line="256" w:lineRule="auto"/>
        <w:ind w:right="111" w:rightChars="0"/>
        <w:jc w:val="both"/>
        <w:rPr>
          <w:rFonts w:hint="eastAsia" w:ascii="仿宋_GB2312" w:hAnsi="仿宋_GB2312" w:eastAsia="仿宋_GB2312" w:cs="仿宋_GB2312"/>
          <w:sz w:val="32"/>
          <w:szCs w:val="32"/>
        </w:rPr>
      </w:pPr>
    </w:p>
    <w:p>
      <w:pPr>
        <w:pStyle w:val="3"/>
        <w:spacing w:before="0" w:line="437" w:lineRule="exact"/>
        <w:ind w:left="0" w:right="260"/>
        <w:jc w:val="right"/>
        <w:rPr>
          <w:rFonts w:hint="eastAsia" w:ascii="仿宋_GB2312" w:hAnsi="仿宋_GB2312" w:eastAsia="仿宋_GB2312" w:cs="仿宋_GB2312"/>
          <w:sz w:val="32"/>
          <w:szCs w:val="32"/>
        </w:rPr>
      </w:pPr>
    </w:p>
    <w:p>
      <w:pPr>
        <w:pStyle w:val="3"/>
        <w:spacing w:before="0" w:line="437" w:lineRule="exact"/>
        <w:ind w:left="0" w:right="260"/>
        <w:jc w:val="right"/>
        <w:rPr>
          <w:rFonts w:hint="eastAsia" w:ascii="仿宋_GB2312" w:hAnsi="仿宋_GB2312" w:eastAsia="仿宋_GB2312" w:cs="仿宋_GB2312"/>
          <w:sz w:val="32"/>
          <w:szCs w:val="32"/>
        </w:rPr>
      </w:pPr>
    </w:p>
    <w:p>
      <w:pPr>
        <w:pStyle w:val="3"/>
        <w:spacing w:before="0" w:line="580" w:lineRule="exact"/>
        <w:ind w:left="0" w:right="261"/>
        <w:jc w:val="right"/>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广州市</w:t>
      </w:r>
      <w:r>
        <w:rPr>
          <w:rFonts w:hint="eastAsia" w:ascii="仿宋_GB2312" w:hAnsi="仿宋_GB2312" w:eastAsia="仿宋_GB2312" w:cs="仿宋_GB2312"/>
          <w:sz w:val="32"/>
          <w:szCs w:val="32"/>
          <w:lang w:val="en-US" w:eastAsia="zh-CN"/>
        </w:rPr>
        <w:t>规划和自然资源局花都区分局</w:t>
      </w:r>
    </w:p>
    <w:p>
      <w:pPr>
        <w:pStyle w:val="3"/>
        <w:spacing w:line="580" w:lineRule="exact"/>
        <w:ind w:left="0" w:right="261"/>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ascii="Times New Roman" w:hAnsi="Times New Roman" w:eastAsia="仿宋_GB2312" w:cs="Times New Roman"/>
          <w:spacing w:val="0"/>
          <w:sz w:val="32"/>
          <w:szCs w:val="32"/>
          <w:lang w:val="en-US" w:eastAsia="zh-CN"/>
        </w:rPr>
        <w:t>10</w:t>
      </w:r>
      <w:r>
        <w:rPr>
          <w:rFonts w:hint="eastAsia" w:ascii="Times New Roman" w:hAnsi="Times New Roman" w:eastAsia="仿宋_GB2312" w:cs="Times New Roman"/>
          <w:sz w:val="32"/>
          <w:szCs w:val="32"/>
          <w:lang w:eastAsia="zh-CN"/>
        </w:rPr>
        <w:t>月</w:t>
      </w:r>
      <w:r>
        <w:rPr>
          <w:rFonts w:hint="eastAsia" w:ascii="Times New Roman" w:hAnsi="Times New Roman" w:eastAsia="仿宋_GB2312" w:cs="Times New Roman"/>
          <w:spacing w:val="0"/>
          <w:sz w:val="32"/>
          <w:szCs w:val="32"/>
          <w:lang w:val="en-US" w:eastAsia="zh-CN"/>
        </w:rPr>
        <w:t>25</w:t>
      </w:r>
      <w:r>
        <w:rPr>
          <w:rFonts w:hint="eastAsia" w:ascii="Times New Roman" w:hAnsi="Times New Roman" w:eastAsia="仿宋_GB2312" w:cs="Times New Roman"/>
          <w:sz w:val="32"/>
          <w:szCs w:val="32"/>
          <w:lang w:eastAsia="zh-CN"/>
        </w:rPr>
        <w:t>日</w:t>
      </w:r>
    </w:p>
    <w:sectPr>
      <w:footerReference r:id="rId5" w:type="default"/>
      <w:pgSz w:w="11910" w:h="16840"/>
      <w:pgMar w:top="1520" w:right="1540" w:bottom="1502"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obe 黑体 Std R">
    <w:altName w:val="黑体"/>
    <w:panose1 w:val="020B0400000000000000"/>
    <w:charset w:val="80"/>
    <w:family w:val="swiss"/>
    <w:pitch w:val="default"/>
    <w:sig w:usb0="00000000" w:usb1="00000000" w:usb2="00000016" w:usb3="00000000" w:csb0="00060007"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03" w:lineRule="exact"/>
                  <w:ind w:left="40" w:right="0" w:firstLine="0"/>
                  <w:jc w:val="left"/>
                  <w:rPr>
                    <w:rFonts w:ascii="Calibri" w:hAnsi="Calibri" w:eastAsia="Calibri" w:cs="Calibri"/>
                    <w:sz w:val="18"/>
                    <w:szCs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trackRevisions w:val="1"/>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NzFlMzI4MzFiZDAxOGFkOGI5M2M5NzcxNmY1YjQyOTkifQ=="/>
  </w:docVars>
  <w:rsids>
    <w:rsidRoot w:val="00000000"/>
    <w:rsid w:val="030D1F7E"/>
    <w:rsid w:val="05452524"/>
    <w:rsid w:val="058D51EC"/>
    <w:rsid w:val="07341D0C"/>
    <w:rsid w:val="08682950"/>
    <w:rsid w:val="08BB68D4"/>
    <w:rsid w:val="0C490294"/>
    <w:rsid w:val="0C890300"/>
    <w:rsid w:val="0D4202C7"/>
    <w:rsid w:val="0E280906"/>
    <w:rsid w:val="0F6E1DAB"/>
    <w:rsid w:val="14117786"/>
    <w:rsid w:val="162E29AA"/>
    <w:rsid w:val="16E50DE0"/>
    <w:rsid w:val="16F513EF"/>
    <w:rsid w:val="184E0190"/>
    <w:rsid w:val="1ACF5C54"/>
    <w:rsid w:val="1B9575F6"/>
    <w:rsid w:val="1BD94065"/>
    <w:rsid w:val="1DF36D83"/>
    <w:rsid w:val="1F3B669A"/>
    <w:rsid w:val="20604EB4"/>
    <w:rsid w:val="25E90043"/>
    <w:rsid w:val="25F969F8"/>
    <w:rsid w:val="2AD77D2D"/>
    <w:rsid w:val="31234F7C"/>
    <w:rsid w:val="34394804"/>
    <w:rsid w:val="35C846D0"/>
    <w:rsid w:val="383B47A3"/>
    <w:rsid w:val="398D796B"/>
    <w:rsid w:val="39A42B0C"/>
    <w:rsid w:val="400101DB"/>
    <w:rsid w:val="418B47CE"/>
    <w:rsid w:val="41BD4926"/>
    <w:rsid w:val="42D16598"/>
    <w:rsid w:val="4A802994"/>
    <w:rsid w:val="4E9513FD"/>
    <w:rsid w:val="505622BB"/>
    <w:rsid w:val="518671FD"/>
    <w:rsid w:val="54B905A1"/>
    <w:rsid w:val="552D39B4"/>
    <w:rsid w:val="55F85AD5"/>
    <w:rsid w:val="5BEA079F"/>
    <w:rsid w:val="5DD0709E"/>
    <w:rsid w:val="5DF800BA"/>
    <w:rsid w:val="60ED7D0A"/>
    <w:rsid w:val="61504A17"/>
    <w:rsid w:val="62504B1C"/>
    <w:rsid w:val="6ACB25EE"/>
    <w:rsid w:val="6D6C238D"/>
    <w:rsid w:val="6F5F5387"/>
    <w:rsid w:val="6FB32D7A"/>
    <w:rsid w:val="71A633FF"/>
    <w:rsid w:val="724F0D1A"/>
    <w:rsid w:val="73050897"/>
    <w:rsid w:val="76D956B1"/>
    <w:rsid w:val="77B36986"/>
    <w:rsid w:val="77BF1E80"/>
    <w:rsid w:val="78EA684E"/>
    <w:rsid w:val="797A48CF"/>
    <w:rsid w:val="7CEA1D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35"/>
      <w:ind w:left="760"/>
    </w:pPr>
    <w:rPr>
      <w:rFonts w:ascii="Adobe 黑体 Std R" w:hAnsi="Adobe 黑体 Std R" w:eastAsia="Adobe 黑体 Std R"/>
      <w:sz w:val="32"/>
      <w:szCs w:val="32"/>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style>
  <w:style w:type="paragraph" w:customStyle="1" w:styleId="9">
    <w:name w:val="Table Paragraph"/>
    <w:basedOn w:val="1"/>
    <w:qFormat/>
    <w:uiPriority w:val="1"/>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1481</Words>
  <Characters>1574</Characters>
  <TotalTime>23</TotalTime>
  <ScaleCrop>false</ScaleCrop>
  <LinksUpToDate>false</LinksUpToDate>
  <CharactersWithSpaces>1628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minjin</cp:lastModifiedBy>
  <dcterms:modified xsi:type="dcterms:W3CDTF">2023-11-01T07:17:48Z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2052-12.1.0.15712</vt:lpwstr>
  </property>
  <property fmtid="{D5CDD505-2E9C-101B-9397-08002B2CF9AE}" pid="6" name="ICV">
    <vt:lpwstr>4DFBAE58533245A6A3E6FCA55C54D6E1</vt:lpwstr>
  </property>
</Properties>
</file>