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仿宋_GB2312" w:hAnsi="仿宋_GB2312" w:eastAsia="仿宋_GB2312" w:cs="仿宋_GB2312"/>
          <w:lang w:val="en-US" w:eastAsia="zh-CN"/>
        </w:rPr>
      </w:pPr>
      <w:r>
        <w:rPr>
          <w:rFonts w:hint="eastAsia" w:ascii="仿宋_GB2312" w:hAnsi="仿宋_GB2312" w:eastAsia="仿宋_GB2312" w:cs="仿宋_GB2312"/>
          <w:bCs/>
          <w:sz w:val="32"/>
          <w:szCs w:val="32"/>
        </w:rPr>
        <w:t>附件</w:t>
      </w:r>
      <w:r>
        <w:rPr>
          <w:rFonts w:hint="eastAsia" w:ascii="仿宋_GB2312" w:hAnsi="仿宋_GB2312" w:eastAsia="仿宋_GB2312" w:cs="仿宋_GB2312"/>
          <w:bCs/>
          <w:sz w:val="32"/>
          <w:szCs w:val="32"/>
          <w:lang w:val="en-US" w:eastAsia="zh-CN"/>
        </w:rPr>
        <w:t>2</w:t>
      </w:r>
    </w:p>
    <w:p>
      <w:pPr>
        <w:spacing w:line="600" w:lineRule="exact"/>
        <w:jc w:val="center"/>
        <w:outlineLvl w:val="0"/>
        <w:rPr>
          <w:rFonts w:ascii="方正小标宋简体" w:hAnsi="方正小标宋简体" w:eastAsia="方正小标宋简体" w:cs="方正小标宋简体"/>
          <w:bCs/>
          <w:sz w:val="44"/>
          <w:szCs w:val="44"/>
        </w:rPr>
      </w:pPr>
    </w:p>
    <w:p>
      <w:pPr>
        <w:spacing w:line="600" w:lineRule="exact"/>
        <w:jc w:val="center"/>
        <w:outlineLvl w:val="0"/>
        <w:rPr>
          <w:rFonts w:hint="eastAsia"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4</w:t>
      </w:r>
      <w:r>
        <w:rPr>
          <w:rFonts w:hint="eastAsia" w:ascii="方正小标宋简体" w:hAnsi="方正小标宋简体" w:eastAsia="方正小标宋简体" w:cs="方正小标宋简体"/>
          <w:bCs/>
          <w:sz w:val="44"/>
          <w:szCs w:val="44"/>
        </w:rPr>
        <w:t>年花都区教育部门办幼儿园</w:t>
      </w:r>
    </w:p>
    <w:p>
      <w:pPr>
        <w:spacing w:line="600" w:lineRule="exact"/>
        <w:jc w:val="center"/>
        <w:outlineLvl w:val="0"/>
        <w:rPr>
          <w:rFonts w:ascii="方正小标宋简体" w:eastAsia="方正小标宋简体"/>
          <w:bCs/>
          <w:sz w:val="44"/>
          <w:szCs w:val="44"/>
        </w:rPr>
      </w:pPr>
      <w:r>
        <w:rPr>
          <w:rFonts w:hint="eastAsia" w:ascii="方正小标宋简体" w:hAnsi="方正小标宋简体" w:eastAsia="方正小标宋简体" w:cs="方正小标宋简体"/>
          <w:bCs/>
          <w:sz w:val="44"/>
          <w:szCs w:val="44"/>
        </w:rPr>
        <w:t>招生工作方案</w:t>
      </w:r>
    </w:p>
    <w:p>
      <w:pPr>
        <w:widowControl/>
        <w:snapToGrid w:val="0"/>
        <w:spacing w:before="312" w:line="560" w:lineRule="exact"/>
        <w:ind w:firstLine="640" w:firstLineChars="200"/>
        <w:jc w:val="both"/>
        <w:rPr>
          <w:rFonts w:hint="default" w:ascii="Times New Roman" w:hAnsi="Times New Roman" w:eastAsia="仿宋_GB2312" w:cs="Times New Roman"/>
          <w:sz w:val="32"/>
          <w:szCs w:val="44"/>
        </w:rPr>
      </w:pPr>
      <w:r>
        <w:rPr>
          <w:rFonts w:hint="default" w:ascii="Times New Roman" w:hAnsi="Times New Roman" w:eastAsia="仿宋_GB2312" w:cs="Times New Roman"/>
          <w:sz w:val="32"/>
          <w:szCs w:val="32"/>
        </w:rPr>
        <w:t>根据《广州市教育局关于做好幼儿园招生工作的通知》（穗教规字〔2021〕4号）等文件精神，</w:t>
      </w:r>
      <w:r>
        <w:rPr>
          <w:rFonts w:hint="default" w:ascii="Times New Roman" w:hAnsi="Times New Roman" w:eastAsia="仿宋_GB2312" w:cs="Times New Roman"/>
          <w:sz w:val="32"/>
          <w:szCs w:val="32"/>
          <w:lang w:val="en-US" w:eastAsia="zh-CN"/>
        </w:rPr>
        <w:t>结合我区</w:t>
      </w:r>
      <w:r>
        <w:rPr>
          <w:rFonts w:hint="default" w:ascii="Times New Roman" w:hAnsi="Times New Roman" w:eastAsia="仿宋_GB2312" w:cs="Times New Roman"/>
          <w:sz w:val="32"/>
          <w:szCs w:val="32"/>
        </w:rPr>
        <w:t>学前教育发展的现状，为进一步规范教育部门办幼儿园招生管理工作，维护招生工作的正常秩序，特制定本方案。</w:t>
      </w:r>
    </w:p>
    <w:p>
      <w:pPr>
        <w:widowControl/>
        <w:snapToGrid w:val="0"/>
        <w:spacing w:line="560" w:lineRule="exact"/>
        <w:ind w:firstLine="640" w:firstLineChars="200"/>
        <w:jc w:val="both"/>
        <w:outlineLvl w:val="0"/>
        <w:rPr>
          <w:rFonts w:ascii="黑体" w:hAnsi="黑体" w:eastAsia="黑体" w:cs="宋体"/>
          <w:sz w:val="32"/>
          <w:szCs w:val="32"/>
        </w:rPr>
      </w:pPr>
      <w:r>
        <w:rPr>
          <w:rFonts w:hint="eastAsia" w:ascii="黑体" w:hAnsi="黑体" w:eastAsia="黑体" w:cs="宋体"/>
          <w:sz w:val="32"/>
          <w:szCs w:val="32"/>
          <w:lang w:val="en-US" w:eastAsia="zh-CN"/>
        </w:rPr>
        <w:t>一</w:t>
      </w:r>
      <w:r>
        <w:rPr>
          <w:rFonts w:hint="eastAsia" w:ascii="黑体" w:hAnsi="黑体" w:eastAsia="黑体" w:cs="宋体"/>
          <w:sz w:val="32"/>
          <w:szCs w:val="32"/>
        </w:rPr>
        <w:t>、招生原则</w:t>
      </w:r>
    </w:p>
    <w:p>
      <w:pPr>
        <w:widowControl/>
        <w:snapToGrid w:val="0"/>
        <w:spacing w:line="560" w:lineRule="exact"/>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bCs w:val="0"/>
          <w:sz w:val="32"/>
          <w:szCs w:val="32"/>
        </w:rPr>
        <w:t>（一）</w:t>
      </w:r>
      <w:r>
        <w:rPr>
          <w:rFonts w:hint="eastAsia" w:ascii="楷体_GB2312" w:hAnsi="楷体_GB2312" w:eastAsia="楷体_GB2312" w:cs="楷体_GB2312"/>
          <w:b/>
          <w:bCs w:val="0"/>
          <w:sz w:val="32"/>
          <w:szCs w:val="32"/>
          <w:highlight w:val="none"/>
        </w:rPr>
        <w:t>属地管理</w:t>
      </w:r>
      <w:r>
        <w:rPr>
          <w:rFonts w:hint="eastAsia" w:ascii="楷体_GB2312" w:hAnsi="楷体_GB2312" w:eastAsia="楷体_GB2312" w:cs="楷体_GB2312"/>
          <w:b/>
          <w:bCs w:val="0"/>
          <w:sz w:val="32"/>
          <w:szCs w:val="32"/>
        </w:rPr>
        <w:t>。</w:t>
      </w:r>
      <w:r>
        <w:rPr>
          <w:rFonts w:hint="eastAsia" w:ascii="仿宋_GB2312" w:hAnsi="仿宋_GB2312" w:eastAsia="仿宋_GB2312" w:cs="仿宋_GB2312"/>
          <w:sz w:val="32"/>
          <w:szCs w:val="32"/>
        </w:rPr>
        <w:t>幼儿园招生工作由区统筹，实施分片管理。各教育指导中心落实各级招生文件精神，做好辖区各类幼儿园招生工作的指导、管理和监督。</w:t>
      </w:r>
    </w:p>
    <w:p>
      <w:pPr>
        <w:widowControl/>
        <w:snapToGrid w:val="0"/>
        <w:spacing w:line="560" w:lineRule="exact"/>
        <w:ind w:firstLine="643" w:firstLineChars="200"/>
        <w:jc w:val="both"/>
        <w:rPr>
          <w:rFonts w:ascii="仿宋_GB2312" w:hAnsi="仿宋_GB2312" w:eastAsia="仿宋_GB2312" w:cs="仿宋_GB2312"/>
          <w:bCs/>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rPr>
        <w:t>）免试入园。</w:t>
      </w:r>
      <w:r>
        <w:rPr>
          <w:rFonts w:hint="eastAsia" w:ascii="仿宋_GB2312" w:hAnsi="仿宋_GB2312" w:eastAsia="仿宋_GB2312" w:cs="仿宋_GB2312"/>
          <w:bCs/>
          <w:sz w:val="32"/>
          <w:szCs w:val="32"/>
        </w:rPr>
        <w:t>幼儿园招生实行免试入园，除健康检查外，不得对幼儿和家长进行任何形式的考试或测查。</w:t>
      </w:r>
    </w:p>
    <w:p>
      <w:pPr>
        <w:widowControl/>
        <w:snapToGrid w:val="0"/>
        <w:spacing w:line="560" w:lineRule="exact"/>
        <w:ind w:firstLine="643" w:firstLineChars="200"/>
        <w:jc w:val="both"/>
        <w:rPr>
          <w:rFonts w:ascii="仿宋_GB2312" w:hAnsi="仿宋_GB2312" w:eastAsia="仿宋_GB2312" w:cs="仿宋_GB2312"/>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rPr>
        <w:t>）公平公正。</w:t>
      </w:r>
      <w:r>
        <w:rPr>
          <w:rFonts w:hint="eastAsia" w:ascii="仿宋_GB2312" w:hAnsi="仿宋_GB2312" w:eastAsia="仿宋_GB2312" w:cs="仿宋_GB2312"/>
          <w:bCs/>
          <w:sz w:val="32"/>
          <w:szCs w:val="32"/>
        </w:rPr>
        <w:t>坚持依法依规按程序招生，完善招生制度，</w:t>
      </w:r>
      <w:r>
        <w:rPr>
          <w:rFonts w:hint="eastAsia" w:ascii="仿宋_GB2312" w:hAnsi="仿宋_GB2312" w:eastAsia="仿宋_GB2312" w:cs="仿宋_GB2312"/>
          <w:sz w:val="32"/>
          <w:szCs w:val="32"/>
        </w:rPr>
        <w:t>做好信息公示，保障招生工作公开、平稳、规范进行。</w:t>
      </w:r>
    </w:p>
    <w:p>
      <w:pPr>
        <w:widowControl/>
        <w:snapToGrid w:val="0"/>
        <w:spacing w:line="56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、招生对象及范围</w:t>
      </w:r>
    </w:p>
    <w:p>
      <w:pPr>
        <w:widowControl/>
        <w:snapToGrid w:val="0"/>
        <w:spacing w:line="56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幼儿园优先满足适龄幼儿的入园需求，</w:t>
      </w:r>
      <w:r>
        <w:rPr>
          <w:rFonts w:hint="default" w:ascii="Times New Roman" w:hAnsi="Times New Roman" w:eastAsia="仿宋_GB2312" w:cs="Times New Roman"/>
          <w:bCs/>
          <w:sz w:val="32"/>
          <w:szCs w:val="32"/>
        </w:rPr>
        <w:t>招收3周岁（即20</w:t>
      </w:r>
      <w:r>
        <w:rPr>
          <w:rFonts w:hint="default" w:ascii="Times New Roman" w:hAnsi="Times New Roman" w:eastAsia="仿宋_GB2312" w:cs="Times New Roman"/>
          <w:bCs/>
          <w:sz w:val="32"/>
          <w:szCs w:val="32"/>
          <w:lang w:val="en-US" w:eastAsia="zh-CN"/>
        </w:rPr>
        <w:t>20</w:t>
      </w:r>
      <w:r>
        <w:rPr>
          <w:rFonts w:hint="default" w:ascii="Times New Roman" w:hAnsi="Times New Roman" w:eastAsia="仿宋_GB2312" w:cs="Times New Roman"/>
          <w:bCs/>
          <w:sz w:val="32"/>
          <w:szCs w:val="32"/>
        </w:rPr>
        <w:t>年9月1日—202</w:t>
      </w:r>
      <w:r>
        <w:rPr>
          <w:rFonts w:hint="default"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sz w:val="32"/>
          <w:szCs w:val="32"/>
        </w:rPr>
        <w:t>年8月31日期间出生）的本区户籍适龄幼儿</w:t>
      </w:r>
      <w:r>
        <w:rPr>
          <w:rFonts w:hint="default" w:ascii="Times New Roman" w:hAnsi="Times New Roman" w:eastAsia="仿宋_GB2312" w:cs="Times New Roman"/>
          <w:bCs/>
          <w:sz w:val="32"/>
          <w:szCs w:val="32"/>
          <w:lang w:val="en-US" w:eastAsia="zh-CN"/>
        </w:rPr>
        <w:t>及</w:t>
      </w:r>
      <w:r>
        <w:rPr>
          <w:rFonts w:hint="default" w:ascii="Times New Roman" w:hAnsi="Times New Roman" w:eastAsia="仿宋_GB2312" w:cs="Times New Roman"/>
          <w:bCs/>
          <w:sz w:val="32"/>
          <w:szCs w:val="32"/>
        </w:rPr>
        <w:t>符合条件的高层次人才、花都区人才绿卡（以下简称“花卡”）持有人、非本区户籍小区业主</w:t>
      </w:r>
      <w:r>
        <w:rPr>
          <w:rFonts w:hint="default" w:ascii="Times New Roman" w:hAnsi="Times New Roman" w:eastAsia="仿宋_GB2312" w:cs="Times New Roman"/>
          <w:bCs/>
          <w:sz w:val="32"/>
          <w:szCs w:val="32"/>
          <w:lang w:val="en-US" w:eastAsia="zh-CN"/>
        </w:rPr>
        <w:t>和</w:t>
      </w:r>
      <w:r>
        <w:rPr>
          <w:rFonts w:hint="default" w:ascii="Times New Roman" w:hAnsi="Times New Roman" w:eastAsia="仿宋_GB2312" w:cs="Times New Roman"/>
          <w:bCs/>
          <w:sz w:val="32"/>
          <w:szCs w:val="32"/>
        </w:rPr>
        <w:t>其他非广州市户籍政策性照顾类人口适龄子女。</w:t>
      </w:r>
    </w:p>
    <w:p>
      <w:pPr>
        <w:widowControl/>
        <w:numPr>
          <w:ilvl w:val="255"/>
          <w:numId w:val="0"/>
        </w:numPr>
        <w:snapToGrid w:val="0"/>
        <w:spacing w:line="560" w:lineRule="exact"/>
        <w:ind w:firstLine="640" w:firstLineChars="200"/>
        <w:jc w:val="both"/>
        <w:outlineLvl w:val="0"/>
        <w:rPr>
          <w:rFonts w:ascii="黑体" w:hAnsi="黑体" w:eastAsia="黑体" w:cs="宋体"/>
          <w:sz w:val="32"/>
          <w:szCs w:val="32"/>
        </w:rPr>
      </w:pPr>
      <w:r>
        <w:rPr>
          <w:rFonts w:hint="eastAsia" w:ascii="黑体" w:hAnsi="黑体" w:eastAsia="黑体" w:cs="宋体"/>
          <w:sz w:val="32"/>
          <w:szCs w:val="32"/>
          <w:lang w:val="en-US" w:eastAsia="zh-CN"/>
        </w:rPr>
        <w:t>三</w:t>
      </w:r>
      <w:r>
        <w:rPr>
          <w:rFonts w:hint="eastAsia" w:ascii="黑体" w:hAnsi="黑体" w:eastAsia="黑体" w:cs="宋体"/>
          <w:sz w:val="32"/>
          <w:szCs w:val="32"/>
        </w:rPr>
        <w:t>、招生办法</w:t>
      </w:r>
    </w:p>
    <w:p>
      <w:pPr>
        <w:widowControl/>
        <w:numPr>
          <w:ilvl w:val="-1"/>
          <w:numId w:val="0"/>
        </w:numPr>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教育部门办幼儿园面向社会电脑派位的招生比例为幼儿园当年招生学位数的90％。参与电脑派位的幼儿园分为小区配套公办幼儿园、非小区配套公办幼儿园两类。</w:t>
      </w:r>
    </w:p>
    <w:p>
      <w:pPr>
        <w:widowControl/>
        <w:numPr>
          <w:numId w:val="0"/>
        </w:numPr>
        <w:tabs>
          <w:tab w:val="left" w:pos="2700"/>
        </w:tabs>
        <w:snapToGrid w:val="0"/>
        <w:spacing w:line="560" w:lineRule="exact"/>
        <w:ind w:firstLine="643" w:firstLineChars="200"/>
        <w:jc w:val="both"/>
        <w:outlineLvl w:val="0"/>
        <w:rPr>
          <w:rFonts w:ascii="楷体_GB2312" w:hAnsi="仿宋" w:eastAsia="楷体_GB2312" w:cs="宋体"/>
          <w:b/>
          <w:sz w:val="32"/>
          <w:szCs w:val="32"/>
        </w:rPr>
      </w:pPr>
      <w:r>
        <w:rPr>
          <w:rFonts w:hint="eastAsia" w:ascii="楷体_GB2312" w:hAnsi="仿宋" w:eastAsia="楷体_GB2312" w:cs="宋体"/>
          <w:b/>
          <w:sz w:val="32"/>
          <w:szCs w:val="32"/>
          <w:lang w:eastAsia="zh-CN"/>
        </w:rPr>
        <w:t>（</w:t>
      </w:r>
      <w:r>
        <w:rPr>
          <w:rFonts w:hint="eastAsia" w:ascii="楷体_GB2312" w:hAnsi="仿宋" w:eastAsia="楷体_GB2312" w:cs="宋体"/>
          <w:b/>
          <w:sz w:val="32"/>
          <w:szCs w:val="32"/>
          <w:lang w:val="en-US" w:eastAsia="zh-CN"/>
        </w:rPr>
        <w:t>一</w:t>
      </w:r>
      <w:r>
        <w:rPr>
          <w:rFonts w:hint="eastAsia" w:ascii="楷体_GB2312" w:hAnsi="仿宋" w:eastAsia="楷体_GB2312" w:cs="宋体"/>
          <w:b/>
          <w:sz w:val="32"/>
          <w:szCs w:val="32"/>
          <w:lang w:eastAsia="zh-CN"/>
        </w:rPr>
        <w:t>）</w:t>
      </w:r>
      <w:r>
        <w:rPr>
          <w:rFonts w:hint="eastAsia" w:ascii="楷体_GB2312" w:hAnsi="仿宋" w:eastAsia="楷体_GB2312" w:cs="宋体"/>
          <w:b/>
          <w:sz w:val="32"/>
          <w:szCs w:val="32"/>
        </w:rPr>
        <w:t>小区配套公办幼儿园</w:t>
      </w:r>
    </w:p>
    <w:p>
      <w:pPr>
        <w:widowControl/>
        <w:tabs>
          <w:tab w:val="left" w:pos="2700"/>
        </w:tabs>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区小区配套公办幼儿园90％的招生名额面向社会，优先考虑该配套小区本区户籍业主和“花卡”持有人业主适龄子女入园，若90%的名额无法满足该配套小区本区户籍业主和“花卡”持有人业主适龄子女入园，剩余学位需继续招收该配套小区本区户籍业主和“花卡”持有人业主适龄子女入园直至100％。在满足该配套小区本区户籍业主适龄子女和“花卡”持有人业主适龄子女入园后，90％招生名额的剩余学位面向该配套小区非本区户籍业主适龄子女和社会进行电脑派位（该配套小区非本区户籍业主适龄子女，只限填报房产所在小区配套公办幼儿园，如填报其他公办幼儿园，则取消其录取资格）。具体优先录取顺序：该配套小区人户一致(详见备注①)业主适龄子女→该配套小区本区户籍非人户一致业主适龄子女和“花卡”持有人业主适龄子女。若该配套小区人户一致业主适龄子女人数超过招生人数的，</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该配套小区人户一致业主适龄子女</w:t>
      </w:r>
      <w:r>
        <w:rPr>
          <w:rFonts w:hint="default" w:ascii="Times New Roman" w:hAnsi="Times New Roman" w:eastAsia="仿宋_GB2312" w:cs="Times New Roman"/>
          <w:sz w:val="32"/>
          <w:szCs w:val="32"/>
          <w:highlight w:val="none"/>
          <w:lang w:val="en-US" w:eastAsia="zh-CN"/>
        </w:rPr>
        <w:t>中</w:t>
      </w:r>
      <w:r>
        <w:rPr>
          <w:rFonts w:hint="default" w:ascii="Times New Roman" w:hAnsi="Times New Roman" w:eastAsia="仿宋_GB2312" w:cs="Times New Roman"/>
          <w:sz w:val="32"/>
          <w:szCs w:val="32"/>
        </w:rPr>
        <w:t>进行摇号录取；若该配套小区人户一致业主适龄子女未超过招生人数，剩余名额在该配套小区本区户籍非人户一致业主适龄子女和“花卡”持有人业主适龄子女中录取，如该配套小区本区户籍非人户一致业主适龄子女和“花卡”持有人业主适龄子女人数超过招生人数的，在该配套小区本区户籍非人户一致业主适龄子女和“花卡”持有人业主适龄子女中进行摇号录取。</w:t>
      </w:r>
    </w:p>
    <w:p>
      <w:pPr>
        <w:widowControl/>
        <w:tabs>
          <w:tab w:val="left" w:pos="2700"/>
        </w:tabs>
        <w:snapToGrid w:val="0"/>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如按以上政策，所在房产小区配套幼儿园学位未能满足符合条件的“花卡”持有人业主适龄子女需求，符合条件的“花卡”持有人业主适龄子女还可参加本区其他有剩余学位的</w:t>
      </w:r>
      <w:r>
        <w:rPr>
          <w:rFonts w:hint="default" w:ascii="Times New Roman" w:hAnsi="Times New Roman" w:eastAsia="仿宋_GB2312" w:cs="Times New Roman"/>
          <w:sz w:val="32"/>
          <w:szCs w:val="32"/>
          <w:lang w:val="en-US" w:eastAsia="zh-CN"/>
        </w:rPr>
        <w:t>教育部门办</w:t>
      </w:r>
      <w:r>
        <w:rPr>
          <w:rFonts w:hint="default" w:ascii="Times New Roman" w:hAnsi="Times New Roman" w:eastAsia="仿宋_GB2312" w:cs="Times New Roman"/>
          <w:sz w:val="32"/>
          <w:szCs w:val="32"/>
        </w:rPr>
        <w:t>幼儿园电脑派位。</w:t>
      </w:r>
    </w:p>
    <w:p>
      <w:pPr>
        <w:widowControl/>
        <w:numPr>
          <w:numId w:val="0"/>
        </w:numPr>
        <w:tabs>
          <w:tab w:val="left" w:pos="2700"/>
        </w:tabs>
        <w:snapToGrid w:val="0"/>
        <w:spacing w:line="560" w:lineRule="exact"/>
        <w:ind w:firstLine="643" w:firstLineChars="200"/>
        <w:jc w:val="both"/>
        <w:outlineLvl w:val="0"/>
        <w:rPr>
          <w:rFonts w:ascii="楷体_GB2312" w:hAnsi="仿宋" w:eastAsia="楷体_GB2312" w:cs="宋体"/>
          <w:b/>
          <w:sz w:val="32"/>
          <w:szCs w:val="32"/>
        </w:rPr>
      </w:pPr>
      <w:r>
        <w:rPr>
          <w:rFonts w:hint="eastAsia" w:ascii="楷体_GB2312" w:hAnsi="仿宋" w:eastAsia="楷体_GB2312" w:cs="宋体"/>
          <w:b/>
          <w:sz w:val="32"/>
          <w:szCs w:val="32"/>
          <w:lang w:eastAsia="zh-CN"/>
        </w:rPr>
        <w:t>（</w:t>
      </w:r>
      <w:r>
        <w:rPr>
          <w:rFonts w:hint="eastAsia" w:ascii="楷体_GB2312" w:hAnsi="仿宋" w:eastAsia="楷体_GB2312" w:cs="宋体"/>
          <w:b/>
          <w:sz w:val="32"/>
          <w:szCs w:val="32"/>
          <w:lang w:val="en-US" w:eastAsia="zh-CN"/>
        </w:rPr>
        <w:t>二</w:t>
      </w:r>
      <w:r>
        <w:rPr>
          <w:rFonts w:hint="eastAsia" w:ascii="楷体_GB2312" w:hAnsi="仿宋" w:eastAsia="楷体_GB2312" w:cs="宋体"/>
          <w:b/>
          <w:sz w:val="32"/>
          <w:szCs w:val="32"/>
          <w:lang w:eastAsia="zh-CN"/>
        </w:rPr>
        <w:t>）</w:t>
      </w:r>
      <w:r>
        <w:rPr>
          <w:rFonts w:hint="eastAsia" w:ascii="楷体_GB2312" w:hAnsi="仿宋" w:eastAsia="楷体_GB2312" w:cs="宋体"/>
          <w:b/>
          <w:sz w:val="32"/>
          <w:szCs w:val="32"/>
        </w:rPr>
        <w:t>非小区配套公办幼儿园</w:t>
      </w:r>
    </w:p>
    <w:p>
      <w:pPr>
        <w:widowControl/>
        <w:tabs>
          <w:tab w:val="left" w:pos="2700"/>
        </w:tabs>
        <w:snapToGrid w:val="0"/>
        <w:spacing w:line="560" w:lineRule="exact"/>
        <w:ind w:firstLine="640"/>
        <w:jc w:val="both"/>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新雅街中心幼儿园</w:t>
      </w:r>
      <w:r>
        <w:rPr>
          <w:rFonts w:hint="default" w:ascii="Times New Roman" w:hAnsi="Times New Roman" w:eastAsia="仿宋_GB2312" w:cs="Times New Roman"/>
          <w:color w:val="auto"/>
          <w:sz w:val="32"/>
          <w:szCs w:val="32"/>
          <w:lang w:eastAsia="zh-CN"/>
        </w:rPr>
        <w:t>（英才路园区）</w:t>
      </w:r>
      <w:r>
        <w:rPr>
          <w:rFonts w:hint="default" w:ascii="Times New Roman" w:hAnsi="Times New Roman" w:eastAsia="仿宋_GB2312" w:cs="Times New Roman"/>
          <w:color w:val="auto"/>
          <w:sz w:val="32"/>
          <w:szCs w:val="32"/>
        </w:rPr>
        <w:t>：该园建设用地由新雅街5个行政村（三向村、旧村、新村、邝家庄村和岑</w:t>
      </w:r>
      <w:r>
        <w:rPr>
          <w:rFonts w:hint="default" w:ascii="Times New Roman" w:hAnsi="Times New Roman" w:eastAsia="仿宋_GB2312" w:cs="Times New Roman"/>
          <w:color w:val="auto"/>
          <w:sz w:val="32"/>
          <w:szCs w:val="32"/>
          <w:lang w:eastAsia="zh-CN"/>
        </w:rPr>
        <w:t>境</w:t>
      </w:r>
      <w:r>
        <w:rPr>
          <w:rFonts w:hint="default" w:ascii="Times New Roman" w:hAnsi="Times New Roman" w:eastAsia="仿宋_GB2312" w:cs="Times New Roman"/>
          <w:color w:val="auto"/>
          <w:sz w:val="32"/>
          <w:szCs w:val="32"/>
        </w:rPr>
        <w:t>村）无偿提供，同时5个行政村为广雅中学重点项目建设给予了支持</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新雅街中心幼儿园</w:t>
      </w:r>
      <w:r>
        <w:rPr>
          <w:rFonts w:hint="default" w:ascii="Times New Roman" w:hAnsi="Times New Roman" w:eastAsia="仿宋_GB2312" w:cs="Times New Roman"/>
          <w:color w:val="auto"/>
          <w:sz w:val="32"/>
          <w:szCs w:val="32"/>
          <w:lang w:eastAsia="zh-CN"/>
        </w:rPr>
        <w:t>（英才路园区）</w:t>
      </w:r>
      <w:r>
        <w:rPr>
          <w:rFonts w:hint="default" w:ascii="Times New Roman" w:hAnsi="Times New Roman" w:eastAsia="仿宋_GB2312" w:cs="Times New Roman"/>
          <w:color w:val="auto"/>
          <w:sz w:val="32"/>
          <w:szCs w:val="32"/>
        </w:rPr>
        <w:t>90％的招生名额</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lang w:val="en-US" w:eastAsia="zh-CN"/>
        </w:rPr>
        <w:t>在</w:t>
      </w:r>
      <w:r>
        <w:rPr>
          <w:rFonts w:hint="default" w:ascii="Times New Roman" w:hAnsi="Times New Roman" w:eastAsia="仿宋_GB2312" w:cs="Times New Roman"/>
          <w:color w:val="auto"/>
          <w:sz w:val="32"/>
          <w:szCs w:val="32"/>
          <w:highlight w:val="none"/>
        </w:rPr>
        <w:t>优先满足新雅街</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个学位（</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个/村）的基础上，再面向社</w:t>
      </w:r>
      <w:r>
        <w:rPr>
          <w:rFonts w:hint="default" w:ascii="Times New Roman" w:hAnsi="Times New Roman" w:eastAsia="仿宋_GB2312" w:cs="Times New Roman"/>
          <w:color w:val="auto"/>
          <w:sz w:val="32"/>
          <w:szCs w:val="32"/>
        </w:rPr>
        <w:t>会电脑派位。</w:t>
      </w:r>
    </w:p>
    <w:p>
      <w:pPr>
        <w:widowControl/>
        <w:tabs>
          <w:tab w:val="left" w:pos="2700"/>
        </w:tabs>
        <w:snapToGrid w:val="0"/>
        <w:spacing w:line="560" w:lineRule="exact"/>
        <w:ind w:firstLine="640" w:firstLineChars="200"/>
        <w:jc w:val="both"/>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花都区圆玄幼稚园：该园由圆玄学院捐建，圆玄幼稚园90％的招生名额在优先满足符合条件的圆玄道观员工适龄幼儿（不多于5个）的基础上，再面向社会电脑派位。</w:t>
      </w:r>
    </w:p>
    <w:p>
      <w:pPr>
        <w:widowControl/>
        <w:tabs>
          <w:tab w:val="left" w:pos="2700"/>
        </w:tabs>
        <w:snapToGrid w:val="0"/>
        <w:spacing w:line="560" w:lineRule="exact"/>
        <w:ind w:firstLine="640"/>
        <w:jc w:val="both"/>
        <w:rPr>
          <w:rFonts w:hint="default" w:ascii="Times New Roman" w:hAnsi="Times New Roman" w:eastAsia="仿宋_GB2312" w:cs="Times New Roman"/>
          <w:sz w:val="32"/>
          <w:szCs w:val="32"/>
        </w:rPr>
      </w:pP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花都区花山镇第二幼儿园：该幼儿园为南村小学撤并后设立，花都区花山镇第二幼儿园90％的招生名额面向社会，优先考虑符合条件的南村村和花山镇北部村（永乐村、红群村、城西村、布岗村、儒林村、福源村、紫西村、花城村、狮民村、源和村）适龄幼儿，若90%</w:t>
      </w:r>
      <w:bookmarkStart w:id="0" w:name="_GoBack"/>
      <w:bookmarkEnd w:id="0"/>
      <w:r>
        <w:rPr>
          <w:rFonts w:hint="default" w:ascii="Times New Roman" w:hAnsi="Times New Roman" w:eastAsia="仿宋_GB2312" w:cs="Times New Roman"/>
          <w:sz w:val="32"/>
          <w:szCs w:val="32"/>
        </w:rPr>
        <w:t>的名额无法满足符合条件的南村村和花山镇北部村适龄幼儿，剩余学位需继续招收符合条件的南村村和花山镇北部村适龄幼儿入园直至100％。在满足符合条件的南村村和花山镇北部村适龄幼儿入园后，90％招生名额的剩余学位面向社会进行电脑派位。具体优先录取顺序：南村村适龄幼儿→花山镇北部村</w:t>
      </w:r>
      <w:r>
        <w:rPr>
          <w:rFonts w:hint="default" w:ascii="Times New Roman" w:hAnsi="Times New Roman" w:eastAsia="仿宋_GB2312" w:cs="Times New Roman"/>
          <w:sz w:val="32"/>
          <w:szCs w:val="32"/>
          <w:lang w:val="en-US" w:eastAsia="zh-CN"/>
        </w:rPr>
        <w:t>适</w:t>
      </w:r>
      <w:r>
        <w:rPr>
          <w:rFonts w:hint="default" w:ascii="Times New Roman" w:hAnsi="Times New Roman" w:eastAsia="仿宋_GB2312" w:cs="Times New Roman"/>
          <w:sz w:val="32"/>
          <w:szCs w:val="32"/>
        </w:rPr>
        <w:t>龄幼儿。若南村村适龄幼儿人数超过招生人数的，</w:t>
      </w:r>
      <w:r>
        <w:rPr>
          <w:rFonts w:hint="default" w:ascii="Times New Roman" w:hAnsi="Times New Roman" w:eastAsia="仿宋_GB2312" w:cs="Times New Roman"/>
          <w:sz w:val="32"/>
          <w:szCs w:val="32"/>
          <w:lang w:val="en-US" w:eastAsia="zh-CN"/>
        </w:rPr>
        <w:t>在</w:t>
      </w:r>
      <w:r>
        <w:rPr>
          <w:rFonts w:hint="default" w:ascii="Times New Roman" w:hAnsi="Times New Roman" w:eastAsia="仿宋_GB2312" w:cs="Times New Roman"/>
          <w:sz w:val="32"/>
          <w:szCs w:val="32"/>
        </w:rPr>
        <w:t>南村村适龄幼儿</w:t>
      </w:r>
      <w:r>
        <w:rPr>
          <w:rFonts w:hint="default"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rPr>
        <w:t>进行摇号录取；若南村村适龄幼儿未超过招生人数，剩余名额在花山镇北部村适龄幼儿中录取，</w:t>
      </w:r>
      <w:r>
        <w:rPr>
          <w:rFonts w:hint="default" w:ascii="Times New Roman" w:hAnsi="Times New Roman" w:eastAsia="仿宋_GB2312" w:cs="Times New Roman"/>
          <w:sz w:val="32"/>
          <w:szCs w:val="32"/>
          <w:lang w:val="en-US" w:eastAsia="zh-CN"/>
        </w:rPr>
        <w:t>若</w:t>
      </w:r>
      <w:r>
        <w:rPr>
          <w:rFonts w:hint="default" w:ascii="Times New Roman" w:hAnsi="Times New Roman" w:eastAsia="仿宋_GB2312" w:cs="Times New Roman"/>
          <w:sz w:val="32"/>
          <w:szCs w:val="32"/>
        </w:rPr>
        <w:t>花山镇北部村适龄幼儿人数超过招生人数的，在花山镇北部村适龄子女中进行摇号录取。</w:t>
      </w:r>
    </w:p>
    <w:p>
      <w:pPr>
        <w:widowControl/>
        <w:numPr>
          <w:ilvl w:val="255"/>
          <w:numId w:val="0"/>
        </w:numPr>
        <w:tabs>
          <w:tab w:val="left" w:pos="2700"/>
        </w:tabs>
        <w:snapToGrid w:val="0"/>
        <w:spacing w:line="560" w:lineRule="exact"/>
        <w:ind w:firstLine="640"/>
        <w:jc w:val="both"/>
        <w:rPr>
          <w:rFonts w:hint="default" w:ascii="Times New Roman" w:hAnsi="Times New Roman" w:eastAsia="楷体_GB2312" w:cs="Times New Roman"/>
          <w:b/>
          <w:sz w:val="32"/>
          <w:szCs w:val="32"/>
        </w:rPr>
      </w:pP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其他非小区配套公办幼儿园:90％的招生名额面向社会电脑派位。</w:t>
      </w:r>
    </w:p>
    <w:p>
      <w:pPr>
        <w:widowControl/>
        <w:numPr>
          <w:numId w:val="0"/>
        </w:numPr>
        <w:tabs>
          <w:tab w:val="left" w:pos="2700"/>
        </w:tabs>
        <w:snapToGrid w:val="0"/>
        <w:spacing w:line="560" w:lineRule="exact"/>
        <w:ind w:firstLine="643" w:firstLineChars="200"/>
        <w:jc w:val="both"/>
        <w:outlineLvl w:val="0"/>
        <w:rPr>
          <w:rFonts w:ascii="楷体_GB2312" w:hAnsi="仿宋" w:eastAsia="楷体_GB2312" w:cs="宋体"/>
          <w:b/>
          <w:sz w:val="32"/>
          <w:szCs w:val="32"/>
        </w:rPr>
      </w:pPr>
      <w:r>
        <w:rPr>
          <w:rFonts w:hint="eastAsia" w:ascii="楷体_GB2312" w:hAnsi="仿宋" w:eastAsia="楷体_GB2312" w:cs="宋体"/>
          <w:b/>
          <w:sz w:val="32"/>
          <w:szCs w:val="32"/>
          <w:lang w:eastAsia="zh-CN"/>
        </w:rPr>
        <w:t>（</w:t>
      </w:r>
      <w:r>
        <w:rPr>
          <w:rFonts w:hint="eastAsia" w:ascii="楷体_GB2312" w:hAnsi="仿宋" w:eastAsia="楷体_GB2312" w:cs="宋体"/>
          <w:b/>
          <w:sz w:val="32"/>
          <w:szCs w:val="32"/>
          <w:lang w:val="en-US" w:eastAsia="zh-CN"/>
        </w:rPr>
        <w:t>三</w:t>
      </w:r>
      <w:r>
        <w:rPr>
          <w:rFonts w:hint="eastAsia" w:ascii="楷体_GB2312" w:hAnsi="仿宋" w:eastAsia="楷体_GB2312" w:cs="宋体"/>
          <w:b/>
          <w:sz w:val="32"/>
          <w:szCs w:val="32"/>
          <w:lang w:eastAsia="zh-CN"/>
        </w:rPr>
        <w:t>）</w:t>
      </w:r>
      <w:r>
        <w:rPr>
          <w:rFonts w:hint="eastAsia" w:ascii="楷体_GB2312" w:hAnsi="仿宋" w:eastAsia="楷体_GB2312" w:cs="宋体"/>
          <w:b/>
          <w:sz w:val="32"/>
          <w:szCs w:val="32"/>
        </w:rPr>
        <w:t>其他</w:t>
      </w:r>
    </w:p>
    <w:p>
      <w:pPr>
        <w:widowControl/>
        <w:tabs>
          <w:tab w:val="left" w:pos="2700"/>
        </w:tabs>
        <w:snapToGrid w:val="0"/>
        <w:spacing w:line="560" w:lineRule="exact"/>
        <w:ind w:firstLine="645"/>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符合条件的高层次人才于4月</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日向各所属地教育指导中心提出入园或转园申请，填报三个志愿，原则上由区教育局根据志愿和当年学位实际情况，就近统筹安排</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为保障招生秩序，原则上不受理同一镇（街）的公办幼儿园的转学申请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。区教育局根据其填写的志愿，统筹确定其小班入读的幼儿园园所，并在90%面向社会电脑派位的招生名额里同步扣除。</w:t>
      </w:r>
    </w:p>
    <w:p>
      <w:pPr>
        <w:widowControl/>
        <w:tabs>
          <w:tab w:val="left" w:pos="2700"/>
        </w:tabs>
        <w:snapToGrid w:val="0"/>
        <w:spacing w:line="560" w:lineRule="exact"/>
        <w:ind w:firstLine="640"/>
        <w:jc w:val="both"/>
        <w:rPr>
          <w:rFonts w:hint="default" w:ascii="Times New Roman" w:hAnsi="Times New Roman" w:cs="Times New Roman"/>
          <w:sz w:val="32"/>
          <w:szCs w:val="32"/>
        </w:rPr>
      </w:pPr>
      <w:r>
        <w:rPr>
          <w:rFonts w:hint="default" w:ascii="Times New Roman" w:hAnsi="Times New Roman" w:eastAsia="仿宋_GB2312" w:cs="Times New Roman"/>
          <w:sz w:val="32"/>
          <w:szCs w:val="32"/>
        </w:rPr>
        <w:t>教育部门办幼儿园面向社会电脑派位招生后的剩余学位，由招生工作领导小组统筹安排。</w:t>
      </w:r>
    </w:p>
    <w:p>
      <w:pPr>
        <w:widowControl/>
        <w:snapToGrid w:val="0"/>
        <w:spacing w:line="560" w:lineRule="exact"/>
        <w:ind w:firstLine="640" w:firstLineChars="200"/>
        <w:jc w:val="both"/>
        <w:rPr>
          <w:rFonts w:ascii="黑体" w:hAnsi="黑体" w:eastAsia="黑体" w:cs="宋体"/>
          <w:sz w:val="32"/>
          <w:szCs w:val="32"/>
        </w:rPr>
      </w:pPr>
      <w:r>
        <w:rPr>
          <w:rFonts w:hint="eastAsia" w:ascii="黑体" w:hAnsi="黑体" w:eastAsia="黑体" w:cs="宋体"/>
          <w:sz w:val="32"/>
          <w:szCs w:val="32"/>
          <w:lang w:val="en-US" w:eastAsia="zh-CN"/>
        </w:rPr>
        <w:t>四</w:t>
      </w:r>
      <w:r>
        <w:rPr>
          <w:rFonts w:hint="eastAsia" w:ascii="黑体" w:hAnsi="黑体" w:eastAsia="黑体" w:cs="宋体"/>
          <w:sz w:val="32"/>
          <w:szCs w:val="32"/>
        </w:rPr>
        <w:t>、招生工作流程</w:t>
      </w:r>
    </w:p>
    <w:p>
      <w:pPr>
        <w:widowControl/>
        <w:tabs>
          <w:tab w:val="left" w:pos="2700"/>
        </w:tabs>
        <w:wordWrap w:val="0"/>
        <w:snapToGrid w:val="0"/>
        <w:spacing w:line="560" w:lineRule="exact"/>
        <w:ind w:firstLine="643" w:firstLineChars="200"/>
        <w:jc w:val="both"/>
        <w:rPr>
          <w:rFonts w:ascii="楷体" w:hAnsi="楷体" w:eastAsia="楷体" w:cs="楷体"/>
          <w:b/>
          <w:bCs/>
          <w:sz w:val="32"/>
        </w:rPr>
      </w:pPr>
      <w:r>
        <w:rPr>
          <w:rFonts w:hint="eastAsia" w:ascii="楷体" w:hAnsi="楷体" w:eastAsia="楷体" w:cs="楷体"/>
          <w:b/>
          <w:bCs/>
          <w:sz w:val="32"/>
        </w:rPr>
        <w:t>（一）公布招生工作方案、计划</w:t>
      </w:r>
    </w:p>
    <w:p>
      <w:pPr>
        <w:widowControl/>
        <w:tabs>
          <w:tab w:val="left" w:pos="2700"/>
        </w:tabs>
        <w:wordWrap w:val="0"/>
        <w:snapToGrid w:val="0"/>
        <w:spacing w:line="560" w:lineRule="exact"/>
        <w:ind w:firstLine="643" w:firstLineChars="200"/>
        <w:jc w:val="both"/>
        <w:rPr>
          <w:rFonts w:hint="default" w:ascii="Times New Roman" w:hAnsi="Times New Roman" w:eastAsia="仿宋_GB2312" w:cs="Times New Roman"/>
          <w:sz w:val="32"/>
        </w:rPr>
      </w:pPr>
      <w:r>
        <w:rPr>
          <w:rFonts w:hint="default" w:ascii="Times New Roman" w:hAnsi="Times New Roman" w:eastAsia="仿宋_GB2312" w:cs="Times New Roman"/>
          <w:b/>
          <w:bCs/>
          <w:sz w:val="32"/>
        </w:rPr>
        <w:t>1.</w:t>
      </w:r>
      <w:r>
        <w:rPr>
          <w:rFonts w:hint="default" w:ascii="Times New Roman" w:hAnsi="Times New Roman" w:eastAsia="仿宋_GB2312" w:cs="Times New Roman"/>
          <w:sz w:val="32"/>
          <w:szCs w:val="32"/>
        </w:rPr>
        <w:t>区教育局在</w:t>
      </w:r>
      <w:r>
        <w:rPr>
          <w:rFonts w:hint="default" w:ascii="Times New Roman" w:hAnsi="Times New Roman" w:eastAsia="仿宋_GB2312" w:cs="Times New Roman"/>
          <w:sz w:val="32"/>
        </w:rPr>
        <w:t>广州市花都区政府（http://www.huadu.gov.cn/）和广州花都教育微信公众号上，公布《202</w:t>
      </w:r>
      <w:r>
        <w:rPr>
          <w:rFonts w:hint="default" w:ascii="Times New Roman" w:hAnsi="Times New Roman" w:eastAsia="仿宋_GB2312" w:cs="Times New Roman"/>
          <w:sz w:val="32"/>
          <w:lang w:val="en-US" w:eastAsia="zh-CN"/>
        </w:rPr>
        <w:t>4</w:t>
      </w:r>
      <w:r>
        <w:rPr>
          <w:rFonts w:hint="default" w:ascii="Times New Roman" w:hAnsi="Times New Roman" w:eastAsia="仿宋_GB2312" w:cs="Times New Roman"/>
          <w:sz w:val="32"/>
        </w:rPr>
        <w:t>年花都区教育部门办幼儿园招生工作方案》。</w:t>
      </w:r>
    </w:p>
    <w:p>
      <w:pPr>
        <w:widowControl/>
        <w:tabs>
          <w:tab w:val="left" w:pos="2700"/>
        </w:tabs>
        <w:snapToGrid w:val="0"/>
        <w:spacing w:line="560" w:lineRule="exact"/>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rPr>
        <w:t>2.5月</w:t>
      </w:r>
      <w:r>
        <w:rPr>
          <w:rFonts w:hint="default" w:ascii="Times New Roman" w:hAnsi="Times New Roman" w:eastAsia="仿宋_GB2312" w:cs="Times New Roman"/>
          <w:b/>
          <w:bCs/>
          <w:sz w:val="32"/>
          <w:lang w:val="en-US" w:eastAsia="zh-CN"/>
        </w:rPr>
        <w:t>12</w:t>
      </w:r>
      <w:r>
        <w:rPr>
          <w:rFonts w:hint="default" w:ascii="Times New Roman" w:hAnsi="Times New Roman" w:eastAsia="仿宋_GB2312" w:cs="Times New Roman"/>
          <w:b/>
          <w:bCs/>
          <w:sz w:val="32"/>
        </w:rPr>
        <w:t>日</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rPr>
        <w:t>区教育局在花都区公办幼儿园电脑派位招生服务平台（以下简称“花都幼招服务平台”）上，公布参加电脑派位的教育部门办幼儿园小班派位计划。</w:t>
      </w:r>
    </w:p>
    <w:p>
      <w:pPr>
        <w:widowControl/>
        <w:tabs>
          <w:tab w:val="left" w:pos="2700"/>
        </w:tabs>
        <w:wordWrap w:val="0"/>
        <w:snapToGrid w:val="0"/>
        <w:spacing w:line="560" w:lineRule="exact"/>
        <w:ind w:firstLine="643" w:firstLineChars="200"/>
        <w:jc w:val="both"/>
        <w:rPr>
          <w:rFonts w:ascii="楷体" w:hAnsi="楷体" w:eastAsia="楷体" w:cs="楷体"/>
          <w:b/>
          <w:bCs/>
          <w:sz w:val="32"/>
        </w:rPr>
      </w:pPr>
      <w:r>
        <w:rPr>
          <w:rFonts w:hint="eastAsia" w:ascii="楷体" w:hAnsi="楷体" w:eastAsia="楷体" w:cs="楷体"/>
          <w:b/>
          <w:bCs/>
          <w:sz w:val="32"/>
        </w:rPr>
        <w:t>（二）报名组织实施</w:t>
      </w:r>
    </w:p>
    <w:p>
      <w:pPr>
        <w:widowControl/>
        <w:tabs>
          <w:tab w:val="left" w:pos="2700"/>
        </w:tabs>
        <w:snapToGrid w:val="0"/>
        <w:spacing w:line="560" w:lineRule="exact"/>
        <w:jc w:val="both"/>
        <w:outlineLvl w:val="0"/>
        <w:rPr>
          <w:rFonts w:ascii="仿宋_GB2312" w:hAnsi="仿宋_GB2312" w:eastAsia="仿宋_GB2312" w:cs="仿宋_GB2312"/>
          <w:b/>
          <w:sz w:val="32"/>
          <w:szCs w:val="32"/>
        </w:rPr>
      </w:pPr>
      <w:r>
        <w:rPr>
          <w:rFonts w:hint="eastAsia" w:ascii="仿宋" w:hAnsi="仿宋" w:eastAsia="仿宋" w:cs="宋体"/>
          <w:b/>
          <w:sz w:val="32"/>
          <w:szCs w:val="32"/>
        </w:rPr>
        <w:t xml:space="preserve">    </w:t>
      </w:r>
      <w:r>
        <w:rPr>
          <w:rFonts w:hint="eastAsia" w:ascii="仿宋_GB2312" w:hAnsi="仿宋_GB2312" w:eastAsia="仿宋_GB2312" w:cs="仿宋_GB2312"/>
          <w:b/>
          <w:sz w:val="32"/>
          <w:szCs w:val="32"/>
        </w:rPr>
        <w:t>1.小区配套公办幼儿园报名办法</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（1）4月</w:t>
      </w:r>
      <w:r>
        <w:rPr>
          <w:rFonts w:hint="eastAsia" w:ascii="仿宋_GB2312" w:hAnsi="仿宋_GB2312" w:eastAsia="仿宋_GB2312" w:cs="仿宋_GB2312"/>
          <w:sz w:val="32"/>
          <w:szCs w:val="32"/>
          <w:lang w:val="en-US" w:eastAsia="zh-CN"/>
        </w:rPr>
        <w:t>22日-23</w:t>
      </w:r>
      <w:r>
        <w:rPr>
          <w:rFonts w:ascii="仿宋_GB2312" w:hAnsi="仿宋_GB2312" w:eastAsia="仿宋_GB2312" w:cs="仿宋_GB2312"/>
          <w:sz w:val="32"/>
          <w:szCs w:val="32"/>
        </w:rPr>
        <w:t>日，各教育指导中心审核汇总完符合条件的高层次人才适龄子女名单交至</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教育局。</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）4月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日，小区配套公办幼儿园所在小区的本区户籍业主和“花卡”持有人业主适龄子女报名。符合条件幼儿的父（母）或其他法定监护人（上午8：30－11：30，下午2：30－5：30）持户口簿（必须在4月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日前完成幼儿户籍变更）、父（母）或其他法定监护人二代身份证、幼儿出生证、预防接种证、房产证等，到小区配套公办幼儿园报名。所有资料需提供原件核实并上交复印件一份。</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）4月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日，小区配套公办幼儿园审查、确定拟优先录取本区户籍小区业主和符合条件的“花卡”持有人业主适龄子女入园名单，并将名单（包含符合条件的高层次人才适龄子女）在幼儿园公告栏等地方公示。</w:t>
      </w:r>
    </w:p>
    <w:p>
      <w:pPr>
        <w:widowControl/>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日8：00—</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日17：00，90％招生名额的剩余学位接受本区户籍适龄幼儿</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符合条件的“花卡”持有人、非本区户籍小区业主</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其他非广州市户籍人口适龄子女网上报名，报名办法与非小区配套公办幼儿园报名办法一致。</w:t>
      </w:r>
    </w:p>
    <w:p>
      <w:pPr>
        <w:tabs>
          <w:tab w:val="left" w:pos="2700"/>
        </w:tabs>
        <w:snapToGrid w:val="0"/>
        <w:spacing w:line="560" w:lineRule="exact"/>
        <w:ind w:firstLine="803" w:firstLineChars="25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2.非小区配套公办幼儿园报名办法。</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日8：00—</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日17：00，接受本区户籍适龄幼儿</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符合条件的“花卡”持有人、其他非广州市户籍人口适龄子女网上报名。符合报名资格幼儿的父（母）或其他法定监护人在规定时间内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广州市花都区政府</w:t>
      </w:r>
      <w:r>
        <w:rPr>
          <w:rFonts w:hint="eastAsia" w:ascii="仿宋_GB2312" w:hAnsi="仿宋_GB2312" w:eastAsia="仿宋_GB2312" w:cs="仿宋_GB2312"/>
          <w:sz w:val="32"/>
          <w:szCs w:val="32"/>
          <w:lang w:val="en-US" w:eastAsia="zh-CN"/>
        </w:rPr>
        <w:t>官网登录</w:t>
      </w:r>
      <w:r>
        <w:rPr>
          <w:rFonts w:hint="eastAsia" w:ascii="仿宋_GB2312" w:hAnsi="仿宋_GB2312" w:eastAsia="仿宋_GB2312" w:cs="仿宋_GB2312"/>
          <w:sz w:val="32"/>
          <w:szCs w:val="32"/>
        </w:rPr>
        <w:t>“花都幼招服务平台”，填写幼儿及法定监护人基本信息和电脑派位招生志愿，进行实名制注册后完成网上报名。</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双胞胎（多胞胎）参加幼儿园电脑派位可在以下两种方式中任选其一，一经选定不得更改。</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①一号派位，同园录取。</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符合报名资格的双胞胎（多胞胎）网上报名时只填报一张报名表、一个幼儿资料，并应准确登记双胞胎（多胞胎）姓名及身份证号等信息，生成一个随机号码参加电脑派位。一经录取，在幼儿园审核通过后，双胞胎（多胞胎）可办理同园入读手续，相应招生名额在幼儿园原招生计划的基础上增加。如家长分别用双胞胎或多胞胎的不同名字重复进行一号派位网上报名，即使进入录取名单，也取消其录取资格。</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②多号派位，按实录取。</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符合报名资格的双胞胎（多胞胎）网上报名时填报两（多）张报名表、两（多）个幼儿资料，分别生成两（多）个随机号码参加电脑派位，按派位实际结果入园。</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)报名完成后，每名幼儿将获得一个报名编号，报名编号仅作为幼儿报名标识，与电脑派位录取无关。</w:t>
      </w:r>
    </w:p>
    <w:p>
      <w:pPr>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)不具备上网条件的家庭，其父母或其法定监护人可向拟报名的幼儿园提出申请，由幼儿园提供网上报名服务。</w:t>
      </w:r>
    </w:p>
    <w:p>
      <w:pPr>
        <w:widowControl/>
        <w:tabs>
          <w:tab w:val="left" w:pos="2700"/>
        </w:tabs>
        <w:snapToGrid w:val="0"/>
        <w:spacing w:line="560" w:lineRule="exact"/>
        <w:ind w:firstLine="640" w:firstLineChars="200"/>
        <w:jc w:val="both"/>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)参加我区教育部门办</w:t>
      </w:r>
      <w:r>
        <w:rPr>
          <w:rFonts w:hint="eastAsia" w:ascii="仿宋_GB2312" w:hAnsi="仿宋_GB2312" w:eastAsia="仿宋_GB2312" w:cs="仿宋_GB2312"/>
          <w:sz w:val="32"/>
          <w:szCs w:val="32"/>
          <w:lang w:val="en-US" w:eastAsia="zh-CN"/>
        </w:rPr>
        <w:t>幼儿</w:t>
      </w:r>
      <w:r>
        <w:rPr>
          <w:rFonts w:hint="eastAsia" w:ascii="仿宋_GB2312" w:hAnsi="仿宋_GB2312" w:eastAsia="仿宋_GB2312" w:cs="仿宋_GB2312"/>
          <w:sz w:val="32"/>
          <w:szCs w:val="32"/>
        </w:rPr>
        <w:t xml:space="preserve">园电脑派位符合报名条件的适龄幼儿只可填报1所教育部门办幼儿园志愿，经发现填报多所的，一律取消其参加电脑派位资格。所填报名信息逾期不得修改。 </w:t>
      </w:r>
    </w:p>
    <w:p>
      <w:pPr>
        <w:widowControl/>
        <w:tabs>
          <w:tab w:val="left" w:pos="2700"/>
        </w:tabs>
        <w:snapToGrid w:val="0"/>
        <w:spacing w:line="560" w:lineRule="exact"/>
        <w:ind w:firstLine="643" w:firstLineChars="200"/>
        <w:jc w:val="both"/>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（三）电脑派位实施。</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日上午9:00，在公证处工作人员现场公证下，由招生工作领导小组人员启动电脑派位程序，当场产生录取幼儿名单，幼儿父（母）或其法定监护人可于当天在“花都幼招服务平台”上查询录取结果。</w:t>
      </w:r>
    </w:p>
    <w:p>
      <w:pPr>
        <w:widowControl/>
        <w:tabs>
          <w:tab w:val="left" w:pos="2700"/>
        </w:tabs>
        <w:snapToGrid w:val="0"/>
        <w:spacing w:line="560" w:lineRule="exact"/>
        <w:ind w:firstLine="630" w:firstLineChars="196"/>
        <w:jc w:val="both"/>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（四）资格审核和注册。</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参与电脑派位的公办幼儿园负责对电脑派位拟录取幼儿进行资格审核，并在“花都幼招服务平台”录入审核结果。资格审核时，由幼儿园现场打印《花都区公办幼儿园报名表》，拟录取幼儿的父（母）或其法定监护人对报名信息当场确认，并将相关材料复印件交幼儿园存档备查。相关证明材料如下：</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（1）父（母）或其他法定监护人与幼儿共同户口簿（必须在4月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日前完成幼儿户籍变更）。</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（2）父（母）或其他法定监护人二代身份证。</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（3）预防接种证。</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（4）幼儿出生证。</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2.经资格审核出现幼儿不符合报名条件、提供虚假材料、证明材料不齐全且未按时补齐或未在规定时间内前往幼儿园进行现场资格审核的情况，一律取消幼儿录取资格。</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补录及资格审核。资格审核期间产生的空缺名额按排位序号从小到大由后续幼儿依次递补。幼儿园负责通知后续排位序号的幼儿父（母）或其法定监护人，在资格审核及补录期间进行递补录取资格的现场审核确认。</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4.招生工作领导小组负责对本区公办幼儿园的电脑派位资格审核工作进行监督。</w:t>
      </w:r>
    </w:p>
    <w:p>
      <w:pPr>
        <w:widowControl/>
        <w:tabs>
          <w:tab w:val="left" w:pos="2700"/>
        </w:tabs>
        <w:snapToGrid w:val="0"/>
        <w:spacing w:line="560" w:lineRule="exact"/>
        <w:ind w:firstLine="630" w:firstLineChars="196"/>
        <w:jc w:val="both"/>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（五）公示录取名单。</w:t>
      </w:r>
    </w:p>
    <w:p>
      <w:pPr>
        <w:widowControl/>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日，幼儿园在园区公告栏等地方公示最终录取名单。</w:t>
      </w:r>
    </w:p>
    <w:p>
      <w:pPr>
        <w:widowControl/>
        <w:tabs>
          <w:tab w:val="left" w:pos="2700"/>
        </w:tabs>
        <w:snapToGrid w:val="0"/>
        <w:spacing w:line="560" w:lineRule="exact"/>
        <w:ind w:firstLine="630" w:firstLineChars="196"/>
        <w:jc w:val="both"/>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（六）发出《新生录取通知书》。</w:t>
      </w:r>
    </w:p>
    <w:p>
      <w:pPr>
        <w:widowControl/>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日，此次招生工作录取的幼儿，由幼儿的父（母）或其法定监护人带幼儿本人到录取的幼儿园办理注册登记手续，领取《新生录取通知书》，逾期未进行注册登记的，视为自动放弃学位。</w:t>
      </w:r>
    </w:p>
    <w:p>
      <w:pPr>
        <w:widowControl/>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幼儿领取《新生录取通知书》后，应按有关规定到医院进行健康检查。除此之外，严禁幼儿园对幼儿进行考试或测查。</w:t>
      </w:r>
    </w:p>
    <w:p>
      <w:pPr>
        <w:widowControl/>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新生入园后，幼儿园要做好新生在园学籍及相关信息登记工作。</w:t>
      </w:r>
    </w:p>
    <w:p>
      <w:pPr>
        <w:widowControl/>
        <w:numPr>
          <w:ilvl w:val="-1"/>
          <w:numId w:val="0"/>
        </w:numPr>
        <w:tabs>
          <w:tab w:val="left" w:pos="2700"/>
        </w:tabs>
        <w:snapToGrid w:val="0"/>
        <w:spacing w:line="560" w:lineRule="exact"/>
        <w:ind w:firstLine="640" w:firstLineChars="200"/>
        <w:jc w:val="both"/>
        <w:rPr>
          <w:rFonts w:hint="eastAsia" w:ascii="黑体" w:hAnsi="黑体" w:eastAsia="黑体" w:cs="黑体"/>
          <w:sz w:val="32"/>
          <w:szCs w:val="32"/>
        </w:rPr>
      </w:pPr>
      <w:r>
        <w:rPr>
          <w:rFonts w:hint="eastAsia" w:ascii="黑体" w:hAnsi="黑体" w:eastAsia="黑体" w:cs="黑体"/>
          <w:bCs w:val="0"/>
          <w:sz w:val="32"/>
          <w:szCs w:val="32"/>
          <w:lang w:val="en-US" w:eastAsia="zh-CN"/>
        </w:rPr>
        <w:t>五</w:t>
      </w:r>
      <w:r>
        <w:rPr>
          <w:rFonts w:hint="eastAsia" w:ascii="黑体" w:hAnsi="黑体" w:eastAsia="黑体" w:cs="黑体"/>
          <w:bCs w:val="0"/>
          <w:sz w:val="32"/>
          <w:szCs w:val="32"/>
        </w:rPr>
        <w:t>、</w:t>
      </w:r>
      <w:r>
        <w:rPr>
          <w:rFonts w:hint="eastAsia" w:ascii="黑体" w:hAnsi="黑体" w:eastAsia="黑体" w:cs="黑体"/>
          <w:sz w:val="32"/>
          <w:szCs w:val="32"/>
        </w:rPr>
        <w:t>招生工作要求</w:t>
      </w:r>
    </w:p>
    <w:p>
      <w:pPr>
        <w:widowControl/>
        <w:tabs>
          <w:tab w:val="left" w:pos="2700"/>
        </w:tabs>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幼儿园招生领导小组负责指导、统筹、组织、审核、监督，协调解决招生工作中遇到的问题。幼儿园应建立和完善招生入园工作公示制度和社会监督制度，及时向社会公布招生入园信息，为幼儿家长提供咨询指导和服务，加强招生工作的监控和管理，确保幼儿园招生的严肃性和公正性。</w:t>
      </w:r>
    </w:p>
    <w:p>
      <w:pPr>
        <w:widowControl/>
        <w:tabs>
          <w:tab w:val="left" w:pos="2700"/>
        </w:tabs>
        <w:adjustRightInd/>
        <w:snapToGrid w:val="0"/>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幼儿园要严格依照本方案的工作日程按时按质完成，突发紧急情况将及时向上级主管部门汇报。招生的相关工作人员应严格遵守招生规定和纪律，严禁徇私舞弊、弄虚作假，确保招生工作的公正、公平。对玩忽职守或违反规定，造成不良后果的，将追究责任，依法依规予以查处。</w:t>
      </w:r>
    </w:p>
    <w:p>
      <w:pPr>
        <w:widowControl/>
        <w:tabs>
          <w:tab w:val="left" w:pos="2700"/>
        </w:tabs>
        <w:snapToGrid w:val="0"/>
        <w:spacing w:line="560" w:lineRule="exact"/>
        <w:ind w:firstLine="640" w:firstLineChars="200"/>
        <w:jc w:val="both"/>
        <w:rPr>
          <w:rFonts w:hint="eastAsia" w:ascii="仿宋_GB2312" w:hAnsi="仿宋_GB2312" w:eastAsia="仿宋_GB2312" w:cs="仿宋_GB2312"/>
          <w:bCs w:val="0"/>
          <w:sz w:val="32"/>
          <w:szCs w:val="32"/>
          <w:lang w:val="en-US" w:eastAsia="zh-CN"/>
        </w:rPr>
      </w:pPr>
    </w:p>
    <w:p>
      <w:pPr>
        <w:pStyle w:val="33"/>
        <w:ind w:firstLine="640"/>
        <w:rPr>
          <w:rFonts w:ascii="仿宋_GB2312" w:hAnsi="仿宋_GB2312" w:eastAsia="仿宋_GB2312" w:cs="仿宋_GB2312"/>
          <w:sz w:val="32"/>
          <w:szCs w:val="32"/>
        </w:rPr>
      </w:pPr>
    </w:p>
    <w:p>
      <w:pPr>
        <w:snapToGrid w:val="0"/>
        <w:spacing w:line="360" w:lineRule="auto"/>
        <w:ind w:firstLine="643" w:firstLineChars="200"/>
        <w:rPr>
          <w:rFonts w:eastAsia="仿宋_GB2312"/>
        </w:rPr>
      </w:pPr>
      <w:r>
        <w:rPr>
          <w:rFonts w:hint="eastAsia" w:ascii="仿宋_GB2312" w:hAnsi="仿宋_GB2312" w:eastAsia="仿宋_GB2312" w:cs="仿宋_GB2312"/>
          <w:b/>
          <w:bCs/>
          <w:sz w:val="32"/>
          <w:szCs w:val="32"/>
        </w:rPr>
        <w:t>备注：</w:t>
      </w:r>
      <w:r>
        <w:rPr>
          <w:rFonts w:hint="eastAsia" w:ascii="仿宋_GB2312" w:hAnsi="仿宋_GB2312" w:eastAsia="仿宋_GB2312" w:cs="仿宋_GB2312"/>
          <w:sz w:val="32"/>
          <w:szCs w:val="32"/>
        </w:rPr>
        <w:t>①“人户一致”指幼儿户口地址与父母或其法定监护人所持房产地址一致，且夫妻双方或一方须占房产份额100%(以房地产权证为准)；或儿童与父母在花都的唯一居住地（儿童父母在广州没有单位分房、自购房、租房等）是直系祖辈的，且同户籍同住。②小区配套公办幼儿园小区业主指的是夫妻双方或一方须占有房产份额100%（以房地产权证或房管部门查册资料为准）。</w:t>
      </w:r>
    </w:p>
    <w:sectPr>
      <w:headerReference r:id="rId3" w:type="default"/>
      <w:footerReference r:id="rId4" w:type="default"/>
      <w:pgSz w:w="11906" w:h="16838"/>
      <w:pgMar w:top="1587" w:right="1417" w:bottom="158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align>center</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center;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wNTE5ODQ1NGUxZjg4OWM2ZjEwNTRmNmM5MzlmNmQifQ=="/>
    <w:docVar w:name="KSO_WPS_MARK_KEY" w:val="a1fa2fc8-6bab-45d5-af9f-74aa47932c5c"/>
  </w:docVars>
  <w:rsids>
    <w:rsidRoot w:val="003D022B"/>
    <w:rsid w:val="0001072E"/>
    <w:rsid w:val="000C5A78"/>
    <w:rsid w:val="00104829"/>
    <w:rsid w:val="00134DE9"/>
    <w:rsid w:val="003156A8"/>
    <w:rsid w:val="003D022B"/>
    <w:rsid w:val="003E2B9B"/>
    <w:rsid w:val="004F414E"/>
    <w:rsid w:val="00507D42"/>
    <w:rsid w:val="00520159"/>
    <w:rsid w:val="005721A8"/>
    <w:rsid w:val="005D7EBC"/>
    <w:rsid w:val="00842408"/>
    <w:rsid w:val="00BC649F"/>
    <w:rsid w:val="00C34156"/>
    <w:rsid w:val="00DA0BA3"/>
    <w:rsid w:val="00DA3A92"/>
    <w:rsid w:val="01BB782C"/>
    <w:rsid w:val="02544764"/>
    <w:rsid w:val="02D6571F"/>
    <w:rsid w:val="02F84223"/>
    <w:rsid w:val="03741595"/>
    <w:rsid w:val="038813BA"/>
    <w:rsid w:val="04B059CE"/>
    <w:rsid w:val="04C51DC6"/>
    <w:rsid w:val="057B747E"/>
    <w:rsid w:val="058604EF"/>
    <w:rsid w:val="061B3760"/>
    <w:rsid w:val="062D6DB2"/>
    <w:rsid w:val="06BD01D6"/>
    <w:rsid w:val="07262AD0"/>
    <w:rsid w:val="07323AAD"/>
    <w:rsid w:val="0763563B"/>
    <w:rsid w:val="0781018F"/>
    <w:rsid w:val="07D90C83"/>
    <w:rsid w:val="08111DF2"/>
    <w:rsid w:val="0939703C"/>
    <w:rsid w:val="0A3060D8"/>
    <w:rsid w:val="0A750CAF"/>
    <w:rsid w:val="0AB85AF1"/>
    <w:rsid w:val="0AE26595"/>
    <w:rsid w:val="0B043AD2"/>
    <w:rsid w:val="0B3D2D9C"/>
    <w:rsid w:val="0D7E222A"/>
    <w:rsid w:val="0DAF140F"/>
    <w:rsid w:val="0E5B6744"/>
    <w:rsid w:val="0EAC3C1F"/>
    <w:rsid w:val="0F6C08B9"/>
    <w:rsid w:val="0FB31A96"/>
    <w:rsid w:val="0FFA71A6"/>
    <w:rsid w:val="100242DA"/>
    <w:rsid w:val="108028E6"/>
    <w:rsid w:val="110B45D4"/>
    <w:rsid w:val="110F44E4"/>
    <w:rsid w:val="11D57C4D"/>
    <w:rsid w:val="11EE0CC8"/>
    <w:rsid w:val="120167C8"/>
    <w:rsid w:val="12515202"/>
    <w:rsid w:val="12FD69EF"/>
    <w:rsid w:val="13571ABB"/>
    <w:rsid w:val="13752F76"/>
    <w:rsid w:val="13DD2568"/>
    <w:rsid w:val="13FB4380"/>
    <w:rsid w:val="152460E0"/>
    <w:rsid w:val="16010E6F"/>
    <w:rsid w:val="177C044D"/>
    <w:rsid w:val="17C650B9"/>
    <w:rsid w:val="188D341B"/>
    <w:rsid w:val="18C3456A"/>
    <w:rsid w:val="18C5263E"/>
    <w:rsid w:val="18EB7C71"/>
    <w:rsid w:val="18F845A9"/>
    <w:rsid w:val="18FB00C3"/>
    <w:rsid w:val="1901606E"/>
    <w:rsid w:val="194C1A1D"/>
    <w:rsid w:val="19BE7C49"/>
    <w:rsid w:val="1A4750F2"/>
    <w:rsid w:val="1AF83014"/>
    <w:rsid w:val="1BE10C55"/>
    <w:rsid w:val="1BF37AAD"/>
    <w:rsid w:val="1C383792"/>
    <w:rsid w:val="1C9C5A47"/>
    <w:rsid w:val="1CFB7086"/>
    <w:rsid w:val="1D4F69E5"/>
    <w:rsid w:val="1DD5273C"/>
    <w:rsid w:val="1E085316"/>
    <w:rsid w:val="1E695543"/>
    <w:rsid w:val="1EA228E1"/>
    <w:rsid w:val="1EEA11B5"/>
    <w:rsid w:val="1F280D10"/>
    <w:rsid w:val="1F8E4B4F"/>
    <w:rsid w:val="200C506D"/>
    <w:rsid w:val="20214445"/>
    <w:rsid w:val="21C31AC3"/>
    <w:rsid w:val="22351C0F"/>
    <w:rsid w:val="2285406E"/>
    <w:rsid w:val="23412B05"/>
    <w:rsid w:val="237426AE"/>
    <w:rsid w:val="2391755F"/>
    <w:rsid w:val="23C5568E"/>
    <w:rsid w:val="24B15AAF"/>
    <w:rsid w:val="252C1EDB"/>
    <w:rsid w:val="25791D2F"/>
    <w:rsid w:val="259A3A7F"/>
    <w:rsid w:val="25D87AEB"/>
    <w:rsid w:val="26C02488"/>
    <w:rsid w:val="26C3014D"/>
    <w:rsid w:val="26F46BBA"/>
    <w:rsid w:val="270E2391"/>
    <w:rsid w:val="27110FD4"/>
    <w:rsid w:val="27474936"/>
    <w:rsid w:val="278A7774"/>
    <w:rsid w:val="279B7CC5"/>
    <w:rsid w:val="27F04479"/>
    <w:rsid w:val="27F72F9E"/>
    <w:rsid w:val="281D328D"/>
    <w:rsid w:val="285907FD"/>
    <w:rsid w:val="28702F8B"/>
    <w:rsid w:val="28DC4FE0"/>
    <w:rsid w:val="29264A9F"/>
    <w:rsid w:val="29B936E4"/>
    <w:rsid w:val="2A0340E7"/>
    <w:rsid w:val="2A355DA8"/>
    <w:rsid w:val="2AC43CE4"/>
    <w:rsid w:val="2B6128FD"/>
    <w:rsid w:val="2BC43D32"/>
    <w:rsid w:val="2BC7774A"/>
    <w:rsid w:val="2BDE67A3"/>
    <w:rsid w:val="2C126A2B"/>
    <w:rsid w:val="2C417A0E"/>
    <w:rsid w:val="2C5F260D"/>
    <w:rsid w:val="2C9D2684"/>
    <w:rsid w:val="2F1665C8"/>
    <w:rsid w:val="2FDC6013"/>
    <w:rsid w:val="307027B6"/>
    <w:rsid w:val="31D97D0B"/>
    <w:rsid w:val="31F1540A"/>
    <w:rsid w:val="320542DA"/>
    <w:rsid w:val="32525A94"/>
    <w:rsid w:val="326257ED"/>
    <w:rsid w:val="328A0E7D"/>
    <w:rsid w:val="33DC5E58"/>
    <w:rsid w:val="34302829"/>
    <w:rsid w:val="344B01BB"/>
    <w:rsid w:val="34901AB7"/>
    <w:rsid w:val="349544B6"/>
    <w:rsid w:val="35040835"/>
    <w:rsid w:val="35C85A08"/>
    <w:rsid w:val="35D404E2"/>
    <w:rsid w:val="360A22F5"/>
    <w:rsid w:val="362D70E4"/>
    <w:rsid w:val="366B0FE6"/>
    <w:rsid w:val="368B0A54"/>
    <w:rsid w:val="36BBD00C"/>
    <w:rsid w:val="37860945"/>
    <w:rsid w:val="37F34E90"/>
    <w:rsid w:val="384B12B6"/>
    <w:rsid w:val="39302DF2"/>
    <w:rsid w:val="39387843"/>
    <w:rsid w:val="398822DE"/>
    <w:rsid w:val="39E93D2A"/>
    <w:rsid w:val="3A006F67"/>
    <w:rsid w:val="3B1438CC"/>
    <w:rsid w:val="3B1E4E11"/>
    <w:rsid w:val="3B3818FA"/>
    <w:rsid w:val="3B7A545B"/>
    <w:rsid w:val="3B987418"/>
    <w:rsid w:val="3B9C4AA3"/>
    <w:rsid w:val="3BA7730F"/>
    <w:rsid w:val="3BE24B41"/>
    <w:rsid w:val="3C1A09F6"/>
    <w:rsid w:val="3C471FA0"/>
    <w:rsid w:val="3CEA4A55"/>
    <w:rsid w:val="3D2F0644"/>
    <w:rsid w:val="3DA51906"/>
    <w:rsid w:val="3DF1478F"/>
    <w:rsid w:val="3E051B69"/>
    <w:rsid w:val="3E09325B"/>
    <w:rsid w:val="3FF41E4C"/>
    <w:rsid w:val="401C5A47"/>
    <w:rsid w:val="40F8087C"/>
    <w:rsid w:val="41107CD0"/>
    <w:rsid w:val="41217E4A"/>
    <w:rsid w:val="41280CBA"/>
    <w:rsid w:val="41443CBF"/>
    <w:rsid w:val="41C05D54"/>
    <w:rsid w:val="422A6BF7"/>
    <w:rsid w:val="42583FED"/>
    <w:rsid w:val="427A5AF4"/>
    <w:rsid w:val="437152C3"/>
    <w:rsid w:val="438F6C1D"/>
    <w:rsid w:val="43F1137F"/>
    <w:rsid w:val="44CD17F7"/>
    <w:rsid w:val="45CA57FC"/>
    <w:rsid w:val="46CD4F00"/>
    <w:rsid w:val="46D60102"/>
    <w:rsid w:val="46D91811"/>
    <w:rsid w:val="47A922FB"/>
    <w:rsid w:val="480031EC"/>
    <w:rsid w:val="488F147F"/>
    <w:rsid w:val="492C62C6"/>
    <w:rsid w:val="49D95C4A"/>
    <w:rsid w:val="4AD010BF"/>
    <w:rsid w:val="4AFD8802"/>
    <w:rsid w:val="4BCF73C0"/>
    <w:rsid w:val="4BE957C7"/>
    <w:rsid w:val="4C12700A"/>
    <w:rsid w:val="4CD66389"/>
    <w:rsid w:val="4CEA5458"/>
    <w:rsid w:val="4D162209"/>
    <w:rsid w:val="4D203771"/>
    <w:rsid w:val="4D8B66A2"/>
    <w:rsid w:val="4E37192E"/>
    <w:rsid w:val="4E5303BA"/>
    <w:rsid w:val="4E9200E1"/>
    <w:rsid w:val="4E947B99"/>
    <w:rsid w:val="4EBD259E"/>
    <w:rsid w:val="4F7F1A51"/>
    <w:rsid w:val="50EF76BE"/>
    <w:rsid w:val="51546905"/>
    <w:rsid w:val="51632FA7"/>
    <w:rsid w:val="51843465"/>
    <w:rsid w:val="520370D1"/>
    <w:rsid w:val="523B1404"/>
    <w:rsid w:val="54552E99"/>
    <w:rsid w:val="54841CF9"/>
    <w:rsid w:val="54BE7D12"/>
    <w:rsid w:val="54D36CEB"/>
    <w:rsid w:val="55F5160E"/>
    <w:rsid w:val="56543302"/>
    <w:rsid w:val="56A55484"/>
    <w:rsid w:val="56F76DB3"/>
    <w:rsid w:val="57172B45"/>
    <w:rsid w:val="572C1790"/>
    <w:rsid w:val="57B36663"/>
    <w:rsid w:val="57B45D99"/>
    <w:rsid w:val="57C16F7A"/>
    <w:rsid w:val="586158C0"/>
    <w:rsid w:val="58713784"/>
    <w:rsid w:val="589F66DB"/>
    <w:rsid w:val="58E87A65"/>
    <w:rsid w:val="59BF7B60"/>
    <w:rsid w:val="5A153931"/>
    <w:rsid w:val="5B081C8C"/>
    <w:rsid w:val="5B14567A"/>
    <w:rsid w:val="5B160729"/>
    <w:rsid w:val="5B2418B2"/>
    <w:rsid w:val="5B327D7B"/>
    <w:rsid w:val="5B395FF2"/>
    <w:rsid w:val="5B6E7F3B"/>
    <w:rsid w:val="5B93658F"/>
    <w:rsid w:val="5C543066"/>
    <w:rsid w:val="5C974299"/>
    <w:rsid w:val="5CE373D0"/>
    <w:rsid w:val="5DBE22A3"/>
    <w:rsid w:val="5DD350E9"/>
    <w:rsid w:val="5DD549EE"/>
    <w:rsid w:val="5E170B32"/>
    <w:rsid w:val="5E196B2B"/>
    <w:rsid w:val="5F6127F9"/>
    <w:rsid w:val="5F6925A2"/>
    <w:rsid w:val="5F912814"/>
    <w:rsid w:val="5FC6085B"/>
    <w:rsid w:val="604D496C"/>
    <w:rsid w:val="60523ACF"/>
    <w:rsid w:val="605A4D13"/>
    <w:rsid w:val="60720AE9"/>
    <w:rsid w:val="60D50D2A"/>
    <w:rsid w:val="61500133"/>
    <w:rsid w:val="617C7A69"/>
    <w:rsid w:val="61F51D60"/>
    <w:rsid w:val="625450CF"/>
    <w:rsid w:val="62617513"/>
    <w:rsid w:val="63250DD6"/>
    <w:rsid w:val="63463C29"/>
    <w:rsid w:val="644C22E0"/>
    <w:rsid w:val="64A53B13"/>
    <w:rsid w:val="64BD40BE"/>
    <w:rsid w:val="65C947F2"/>
    <w:rsid w:val="65CC23DD"/>
    <w:rsid w:val="660C6B7C"/>
    <w:rsid w:val="66604E9D"/>
    <w:rsid w:val="668D463E"/>
    <w:rsid w:val="669739A3"/>
    <w:rsid w:val="66DF5469"/>
    <w:rsid w:val="67915CA2"/>
    <w:rsid w:val="68084F10"/>
    <w:rsid w:val="68321EA8"/>
    <w:rsid w:val="691317DA"/>
    <w:rsid w:val="69AB7E1D"/>
    <w:rsid w:val="69D82AC9"/>
    <w:rsid w:val="6A1B45B6"/>
    <w:rsid w:val="6A1B79C2"/>
    <w:rsid w:val="6A824DC7"/>
    <w:rsid w:val="6B4C3124"/>
    <w:rsid w:val="6C0350B8"/>
    <w:rsid w:val="6CAF6861"/>
    <w:rsid w:val="6D02090A"/>
    <w:rsid w:val="6DD542C6"/>
    <w:rsid w:val="6E680F4C"/>
    <w:rsid w:val="6ED87411"/>
    <w:rsid w:val="6EE43546"/>
    <w:rsid w:val="6F272619"/>
    <w:rsid w:val="6F6F3BA4"/>
    <w:rsid w:val="6F9F72C3"/>
    <w:rsid w:val="701B49DB"/>
    <w:rsid w:val="71296D17"/>
    <w:rsid w:val="724B3848"/>
    <w:rsid w:val="72845F3C"/>
    <w:rsid w:val="73002A13"/>
    <w:rsid w:val="73A70B5F"/>
    <w:rsid w:val="74922CC6"/>
    <w:rsid w:val="75835146"/>
    <w:rsid w:val="75B6256E"/>
    <w:rsid w:val="76217E99"/>
    <w:rsid w:val="764E039A"/>
    <w:rsid w:val="766E3A2C"/>
    <w:rsid w:val="772B0864"/>
    <w:rsid w:val="776E6AB1"/>
    <w:rsid w:val="77C26C6B"/>
    <w:rsid w:val="77D76CAB"/>
    <w:rsid w:val="784D2ED9"/>
    <w:rsid w:val="78E75994"/>
    <w:rsid w:val="79165FAC"/>
    <w:rsid w:val="79423776"/>
    <w:rsid w:val="7A0843B5"/>
    <w:rsid w:val="7A571A7E"/>
    <w:rsid w:val="7AE634B7"/>
    <w:rsid w:val="7B662968"/>
    <w:rsid w:val="7BE012FE"/>
    <w:rsid w:val="7C4D0411"/>
    <w:rsid w:val="7C5D39F7"/>
    <w:rsid w:val="7CF63792"/>
    <w:rsid w:val="7D1A4036"/>
    <w:rsid w:val="7D57745F"/>
    <w:rsid w:val="7DD62DA2"/>
    <w:rsid w:val="7E2E7762"/>
    <w:rsid w:val="7E8E299D"/>
    <w:rsid w:val="7ECE7759"/>
    <w:rsid w:val="7F057FE9"/>
    <w:rsid w:val="7F43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sz w:val="21"/>
      <w:szCs w:val="24"/>
      <w:lang w:val="en-US" w:eastAsia="zh-CN" w:bidi="ar-SA"/>
    </w:rPr>
  </w:style>
  <w:style w:type="paragraph" w:styleId="3">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pPr>
  </w:style>
  <w:style w:type="paragraph" w:styleId="14">
    <w:name w:val="toc 3"/>
    <w:basedOn w:val="1"/>
    <w:next w:val="1"/>
    <w:unhideWhenUsed/>
    <w:qFormat/>
    <w:uiPriority w:val="39"/>
    <w:pPr>
      <w:spacing w:after="57"/>
      <w:ind w:left="567"/>
    </w:pPr>
  </w:style>
  <w:style w:type="paragraph" w:styleId="15">
    <w:name w:val="toc 8"/>
    <w:basedOn w:val="1"/>
    <w:next w:val="1"/>
    <w:unhideWhenUsed/>
    <w:qFormat/>
    <w:uiPriority w:val="39"/>
    <w:pPr>
      <w:spacing w:after="57"/>
      <w:ind w:left="1984"/>
    </w:pPr>
  </w:style>
  <w:style w:type="paragraph" w:styleId="16">
    <w:name w:val="Balloon Text"/>
    <w:basedOn w:val="1"/>
    <w:link w:val="186"/>
    <w:semiHidden/>
    <w:unhideWhenUsed/>
    <w:qFormat/>
    <w:uiPriority w:val="99"/>
    <w:rPr>
      <w:sz w:val="18"/>
      <w:szCs w:val="18"/>
    </w:rPr>
  </w:style>
  <w:style w:type="paragraph" w:styleId="17">
    <w:name w:val="footer"/>
    <w:basedOn w:val="1"/>
    <w:unhideWhenUsed/>
    <w:qFormat/>
    <w:uiPriority w:val="99"/>
    <w:pPr>
      <w:tabs>
        <w:tab w:val="center" w:pos="4153"/>
        <w:tab w:val="right" w:pos="8306"/>
      </w:tabs>
      <w:snapToGrid w:val="0"/>
      <w:jc w:val="left"/>
    </w:pPr>
    <w:rPr>
      <w:sz w:val="18"/>
      <w:szCs w:val="18"/>
    </w:rPr>
  </w:style>
  <w:style w:type="paragraph" w:styleId="18">
    <w:name w:val="header"/>
    <w:basedOn w:val="1"/>
    <w:link w:val="183"/>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spacing w:after="57"/>
    </w:pPr>
  </w:style>
  <w:style w:type="paragraph" w:styleId="20">
    <w:name w:val="toc 4"/>
    <w:basedOn w:val="1"/>
    <w:next w:val="1"/>
    <w:unhideWhenUsed/>
    <w:qFormat/>
    <w:uiPriority w:val="39"/>
    <w:pPr>
      <w:spacing w:after="57"/>
      <w:ind w:left="850"/>
    </w:pPr>
  </w:style>
  <w:style w:type="paragraph" w:styleId="21">
    <w:name w:val="Subtitle"/>
    <w:basedOn w:val="1"/>
    <w:next w:val="1"/>
    <w:link w:val="46"/>
    <w:qFormat/>
    <w:uiPriority w:val="11"/>
    <w:pPr>
      <w:spacing w:before="200" w:after="200"/>
    </w:pPr>
    <w:rPr>
      <w:sz w:val="24"/>
    </w:rPr>
  </w:style>
  <w:style w:type="paragraph" w:styleId="22">
    <w:name w:val="footnote text"/>
    <w:basedOn w:val="1"/>
    <w:link w:val="179"/>
    <w:semiHidden/>
    <w:unhideWhenUsed/>
    <w:qFormat/>
    <w:uiPriority w:val="99"/>
    <w:pPr>
      <w:spacing w:after="40"/>
    </w:pPr>
    <w:rPr>
      <w:sz w:val="18"/>
    </w:rPr>
  </w:style>
  <w:style w:type="paragraph" w:styleId="23">
    <w:name w:val="toc 6"/>
    <w:basedOn w:val="1"/>
    <w:next w:val="1"/>
    <w:unhideWhenUsed/>
    <w:qFormat/>
    <w:uiPriority w:val="39"/>
    <w:pPr>
      <w:spacing w:after="57"/>
      <w:ind w:left="1417"/>
    </w:pPr>
  </w:style>
  <w:style w:type="paragraph" w:styleId="24">
    <w:name w:val="toc 2"/>
    <w:basedOn w:val="1"/>
    <w:next w:val="1"/>
    <w:unhideWhenUsed/>
    <w:qFormat/>
    <w:uiPriority w:val="39"/>
    <w:pPr>
      <w:spacing w:after="57"/>
      <w:ind w:left="283"/>
    </w:pPr>
  </w:style>
  <w:style w:type="paragraph" w:styleId="25">
    <w:name w:val="toc 9"/>
    <w:basedOn w:val="1"/>
    <w:next w:val="1"/>
    <w:unhideWhenUsed/>
    <w:qFormat/>
    <w:uiPriority w:val="39"/>
    <w:pPr>
      <w:spacing w:after="57"/>
      <w:ind w:left="2268"/>
    </w:pPr>
  </w:style>
  <w:style w:type="paragraph" w:styleId="26">
    <w:name w:val="Title"/>
    <w:basedOn w:val="1"/>
    <w:next w:val="1"/>
    <w:link w:val="45"/>
    <w:qFormat/>
    <w:uiPriority w:val="10"/>
    <w:pPr>
      <w:spacing w:before="300" w:after="200"/>
      <w:contextualSpacing/>
    </w:pPr>
    <w:rPr>
      <w:sz w:val="48"/>
      <w:szCs w:val="48"/>
    </w:rPr>
  </w:style>
  <w:style w:type="table" w:styleId="28">
    <w:name w:val="Table Grid"/>
    <w:basedOn w:val="2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Hyperlink"/>
    <w:unhideWhenUsed/>
    <w:qFormat/>
    <w:uiPriority w:val="99"/>
    <w:rPr>
      <w:color w:val="0563C1" w:themeColor="hyperlink"/>
      <w:u w:val="single"/>
      <w14:textFill>
        <w14:solidFill>
          <w14:schemeClr w14:val="hlink"/>
        </w14:solidFill>
      </w14:textFill>
    </w:rPr>
  </w:style>
  <w:style w:type="character" w:styleId="32">
    <w:name w:val="footnote reference"/>
    <w:basedOn w:val="29"/>
    <w:unhideWhenUsed/>
    <w:qFormat/>
    <w:uiPriority w:val="99"/>
    <w:rPr>
      <w:vertAlign w:val="superscript"/>
    </w:rPr>
  </w:style>
  <w:style w:type="paragraph" w:customStyle="1" w:styleId="33">
    <w:name w:val="Normal Indent1"/>
    <w:basedOn w:val="1"/>
    <w:qFormat/>
    <w:uiPriority w:val="0"/>
    <w:pPr>
      <w:ind w:firstLine="420" w:firstLineChars="200"/>
    </w:pPr>
  </w:style>
  <w:style w:type="character" w:customStyle="1" w:styleId="34">
    <w:name w:val="标题 1 Char"/>
    <w:basedOn w:val="29"/>
    <w:link w:val="3"/>
    <w:qFormat/>
    <w:uiPriority w:val="9"/>
    <w:rPr>
      <w:rFonts w:ascii="Arial" w:hAnsi="Arial" w:eastAsia="Arial" w:cs="Arial"/>
      <w:sz w:val="40"/>
      <w:szCs w:val="40"/>
    </w:rPr>
  </w:style>
  <w:style w:type="character" w:customStyle="1" w:styleId="35">
    <w:name w:val="Heading 2 Char"/>
    <w:basedOn w:val="29"/>
    <w:qFormat/>
    <w:uiPriority w:val="9"/>
    <w:rPr>
      <w:rFonts w:ascii="Arial" w:hAnsi="Arial" w:eastAsia="Arial" w:cs="Arial"/>
      <w:sz w:val="34"/>
    </w:rPr>
  </w:style>
  <w:style w:type="character" w:customStyle="1" w:styleId="36">
    <w:name w:val="标题 3 Char"/>
    <w:basedOn w:val="29"/>
    <w:link w:val="4"/>
    <w:qFormat/>
    <w:uiPriority w:val="9"/>
    <w:rPr>
      <w:rFonts w:ascii="Arial" w:hAnsi="Arial" w:eastAsia="Arial" w:cs="Arial"/>
      <w:sz w:val="30"/>
      <w:szCs w:val="30"/>
    </w:rPr>
  </w:style>
  <w:style w:type="character" w:customStyle="1" w:styleId="37">
    <w:name w:val="标题 4 Char"/>
    <w:basedOn w:val="29"/>
    <w:link w:val="5"/>
    <w:qFormat/>
    <w:uiPriority w:val="9"/>
    <w:rPr>
      <w:rFonts w:ascii="Arial" w:hAnsi="Arial" w:eastAsia="Arial" w:cs="Arial"/>
      <w:b/>
      <w:bCs/>
      <w:sz w:val="26"/>
      <w:szCs w:val="26"/>
    </w:rPr>
  </w:style>
  <w:style w:type="character" w:customStyle="1" w:styleId="38">
    <w:name w:val="标题 5 Char"/>
    <w:basedOn w:val="29"/>
    <w:link w:val="6"/>
    <w:qFormat/>
    <w:uiPriority w:val="9"/>
    <w:rPr>
      <w:rFonts w:ascii="Arial" w:hAnsi="Arial" w:eastAsia="Arial" w:cs="Arial"/>
      <w:b/>
      <w:bCs/>
      <w:sz w:val="24"/>
      <w:szCs w:val="24"/>
    </w:rPr>
  </w:style>
  <w:style w:type="character" w:customStyle="1" w:styleId="39">
    <w:name w:val="标题 6 Char"/>
    <w:basedOn w:val="29"/>
    <w:link w:val="7"/>
    <w:qFormat/>
    <w:uiPriority w:val="9"/>
    <w:rPr>
      <w:rFonts w:ascii="Arial" w:hAnsi="Arial" w:eastAsia="Arial" w:cs="Arial"/>
      <w:b/>
      <w:bCs/>
      <w:sz w:val="22"/>
      <w:szCs w:val="22"/>
    </w:rPr>
  </w:style>
  <w:style w:type="character" w:customStyle="1" w:styleId="40">
    <w:name w:val="标题 7 Char"/>
    <w:basedOn w:val="29"/>
    <w:link w:val="8"/>
    <w:qFormat/>
    <w:uiPriority w:val="9"/>
    <w:rPr>
      <w:rFonts w:ascii="Arial" w:hAnsi="Arial" w:eastAsia="Arial" w:cs="Arial"/>
      <w:b/>
      <w:bCs/>
      <w:i/>
      <w:iCs/>
      <w:sz w:val="22"/>
      <w:szCs w:val="22"/>
    </w:rPr>
  </w:style>
  <w:style w:type="character" w:customStyle="1" w:styleId="41">
    <w:name w:val="标题 8 Char"/>
    <w:basedOn w:val="29"/>
    <w:link w:val="9"/>
    <w:qFormat/>
    <w:uiPriority w:val="9"/>
    <w:rPr>
      <w:rFonts w:ascii="Arial" w:hAnsi="Arial" w:eastAsia="Arial" w:cs="Arial"/>
      <w:i/>
      <w:iCs/>
      <w:sz w:val="22"/>
      <w:szCs w:val="22"/>
    </w:rPr>
  </w:style>
  <w:style w:type="character" w:customStyle="1" w:styleId="42">
    <w:name w:val="标题 9 Char"/>
    <w:basedOn w:val="29"/>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character" w:customStyle="1" w:styleId="45">
    <w:name w:val="标题 Char"/>
    <w:basedOn w:val="29"/>
    <w:link w:val="26"/>
    <w:qFormat/>
    <w:uiPriority w:val="10"/>
    <w:rPr>
      <w:sz w:val="48"/>
      <w:szCs w:val="48"/>
    </w:rPr>
  </w:style>
  <w:style w:type="character" w:customStyle="1" w:styleId="46">
    <w:name w:val="副标题 Char"/>
    <w:basedOn w:val="29"/>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引用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0">
    <w:name w:val="明显引用 Char"/>
    <w:link w:val="49"/>
    <w:qFormat/>
    <w:uiPriority w:val="30"/>
    <w:rPr>
      <w:i/>
    </w:rPr>
  </w:style>
  <w:style w:type="character" w:customStyle="1" w:styleId="51">
    <w:name w:val="Header Char"/>
    <w:basedOn w:val="29"/>
    <w:qFormat/>
    <w:uiPriority w:val="99"/>
  </w:style>
  <w:style w:type="character" w:customStyle="1" w:styleId="52">
    <w:name w:val="Footer Char"/>
    <w:basedOn w:val="29"/>
    <w:qFormat/>
    <w:uiPriority w:val="99"/>
  </w:style>
  <w:style w:type="character" w:customStyle="1" w:styleId="53">
    <w:name w:val="Caption Char"/>
    <w:qFormat/>
    <w:uiPriority w:val="99"/>
  </w:style>
  <w:style w:type="table" w:customStyle="1" w:styleId="54">
    <w:name w:val="Table Grid Light"/>
    <w:basedOn w:val="2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无格式表格 11"/>
    <w:basedOn w:val="27"/>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56">
    <w:name w:val="无格式表格 21"/>
    <w:basedOn w:val="27"/>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无格式表格 31"/>
    <w:basedOn w:val="27"/>
    <w:qFormat/>
    <w:uiPriority w:val="99"/>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8">
    <w:name w:val="无格式表格 41"/>
    <w:basedOn w:val="27"/>
    <w:qFormat/>
    <w:uiPriority w:val="99"/>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9">
    <w:name w:val="无格式表格 51"/>
    <w:basedOn w:val="27"/>
    <w:qFormat/>
    <w:uiPriority w:val="99"/>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0">
    <w:name w:val="网格表 1 浅色1"/>
    <w:basedOn w:val="27"/>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basedOn w:val="27"/>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2">
    <w:name w:val="Grid Table 1 Light - Accent 2"/>
    <w:basedOn w:val="27"/>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3">
    <w:name w:val="Grid Table 1 Light - Accent 3"/>
    <w:basedOn w:val="27"/>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4">
    <w:name w:val="Grid Table 1 Light - Accent 4"/>
    <w:basedOn w:val="27"/>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5">
    <w:name w:val="Grid Table 1 Light - Accent 5"/>
    <w:basedOn w:val="27"/>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6">
    <w:name w:val="Grid Table 1 Light - Accent 6"/>
    <w:basedOn w:val="27"/>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7">
    <w:name w:val="网格表 21"/>
    <w:basedOn w:val="27"/>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68">
    <w:name w:val="Grid Table 2 - Accent 1"/>
    <w:basedOn w:val="27"/>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68A3D8" w:themeColor="accent1" w:themeTint="EA" w:sz="12" w:space="0"/>
          <w:right w:val="nil"/>
        </w:tcBorders>
        <w:shd w:val="clear" w:color="auto" w:fill="FFFFFF"/>
      </w:tcPr>
    </w:tblStylePr>
    <w:tblStylePr w:type="lastRow">
      <w:rPr>
        <w:b/>
        <w:color w:val="404040"/>
      </w:rPr>
      <w:tcPr>
        <w:tcBorders>
          <w:top w:val="single" w:color="68A3D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style>
  <w:style w:type="table" w:customStyle="1" w:styleId="69">
    <w:name w:val="Grid Table 2 - Accent 2"/>
    <w:basedOn w:val="27"/>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70">
    <w:name w:val="Grid Table 2 - Accent 3"/>
    <w:basedOn w:val="27"/>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71">
    <w:name w:val="Grid Table 2 - Accent 4"/>
    <w:basedOn w:val="27"/>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72">
    <w:name w:val="Grid Table 2 - Accent 5"/>
    <w:basedOn w:val="27"/>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472C4" w:themeColor="accent5" w:sz="12" w:space="0"/>
          <w:right w:val="nil"/>
        </w:tcBorders>
        <w:shd w:val="clear" w:color="auto" w:fill="FFFFFF"/>
      </w:tcPr>
    </w:tblStylePr>
    <w:tblStylePr w:type="lastRow">
      <w:rPr>
        <w:b/>
        <w:color w:val="404040"/>
      </w:rPr>
      <w:tcPr>
        <w:tcBorders>
          <w:top w:val="single" w:color="4472C4"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73">
    <w:name w:val="Grid Table 2 - Accent 6"/>
    <w:basedOn w:val="27"/>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74">
    <w:name w:val="网格表 31"/>
    <w:basedOn w:val="27"/>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5">
    <w:name w:val="Grid Table 3 - Accent 1"/>
    <w:basedOn w:val="27"/>
    <w:qFormat/>
    <w:uiPriority w:val="99"/>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style>
  <w:style w:type="table" w:customStyle="1" w:styleId="76">
    <w:name w:val="Grid Table 3 - Accent 2"/>
    <w:basedOn w:val="27"/>
    <w:qFormat/>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77">
    <w:name w:val="Grid Table 3 - Accent 3"/>
    <w:basedOn w:val="27"/>
    <w:qFormat/>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78">
    <w:name w:val="Grid Table 3 - Accent 4"/>
    <w:basedOn w:val="27"/>
    <w:qFormat/>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79">
    <w:name w:val="Grid Table 3 - Accent 5"/>
    <w:basedOn w:val="27"/>
    <w:qFormat/>
    <w:uiPriority w:val="99"/>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80">
    <w:name w:val="Grid Table 3 - Accent 6"/>
    <w:basedOn w:val="27"/>
    <w:qFormat/>
    <w:uiPriority w:val="99"/>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81">
    <w:name w:val="网格表 41"/>
    <w:basedOn w:val="27"/>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82">
    <w:name w:val="Grid Table 4 - Accent 1"/>
    <w:basedOn w:val="27"/>
    <w:qFormat/>
    <w:uiPriority w:val="5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auto"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EEBF6" w:themeFill="accent1" w:themeFillTint="32"/>
      </w:tcPr>
    </w:tblStylePr>
    <w:tblStylePr w:type="band1Horz">
      <w:rPr>
        <w:rFonts w:ascii="Arial" w:hAnsi="Arial"/>
        <w:color w:val="404040"/>
        <w:sz w:val="22"/>
      </w:rPr>
      <w:tcPr>
        <w:shd w:val="clear" w:color="auto" w:fill="DEEBF6" w:themeFill="accent1" w:themeFillTint="32"/>
      </w:tcPr>
    </w:tblStylePr>
  </w:style>
  <w:style w:type="table" w:customStyle="1" w:styleId="83">
    <w:name w:val="Grid Table 4 - Accent 2"/>
    <w:basedOn w:val="27"/>
    <w:qFormat/>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84">
    <w:name w:val="Grid Table 4 - Accent 3"/>
    <w:basedOn w:val="27"/>
    <w:qFormat/>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85">
    <w:name w:val="Grid Table 4 - Accent 4"/>
    <w:basedOn w:val="27"/>
    <w:qFormat/>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86">
    <w:name w:val="Grid Table 4 - Accent 5"/>
    <w:basedOn w:val="27"/>
    <w:qFormat/>
    <w:uiPriority w:val="5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87">
    <w:name w:val="Grid Table 4 - Accent 6"/>
    <w:basedOn w:val="27"/>
    <w:qFormat/>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88">
    <w:name w:val="网格表 5 深色1"/>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89">
    <w:name w:val="Grid Table 5 Dark- Accent 1"/>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1"/>
      </w:tcPr>
    </w:tblStylePr>
    <w:tblStylePr w:type="lastRow">
      <w:rPr>
        <w:rFonts w:ascii="Arial" w:hAnsi="Arial"/>
        <w:b/>
        <w:color w:val="FFFFFF"/>
        <w:sz w:val="22"/>
      </w:rPr>
      <w:tcPr>
        <w:tcBorders>
          <w:top w:val="single" w:color="FFFFFF" w:themeColor="light1" w:sz="4" w:space="0"/>
        </w:tcBorders>
        <w:shd w:val="clear" w:color="auto" w:fill="5B9BD5" w:themeFill="accent1"/>
      </w:tcPr>
    </w:tblStylePr>
    <w:tblStylePr w:type="firstCol">
      <w:rPr>
        <w:rFonts w:ascii="Arial" w:hAnsi="Arial"/>
        <w:b/>
        <w:color w:val="FFFFFF"/>
        <w:sz w:val="22"/>
      </w:rPr>
      <w:tcPr>
        <w:shd w:val="clear" w:color="auto" w:fill="5B9BD5" w:themeFill="accent1"/>
      </w:tcPr>
    </w:tblStylePr>
    <w:tblStylePr w:type="lastCol">
      <w:rPr>
        <w:rFonts w:ascii="Arial" w:hAnsi="Arial"/>
        <w:b/>
        <w:color w:val="FFFFFF"/>
        <w:sz w:val="22"/>
      </w:rPr>
      <w:tcPr>
        <w:shd w:val="clear" w:color="auto" w:fill="5B9BD5" w:themeFill="accent1"/>
      </w:tcPr>
    </w:tblStylePr>
    <w:tblStylePr w:type="band1Vert">
      <w:tcPr>
        <w:shd w:val="clear" w:color="auto" w:fill="B3D1EB" w:themeFill="accent1" w:themeFillTint="75"/>
      </w:tcPr>
    </w:tblStylePr>
    <w:tblStylePr w:type="band1Horz">
      <w:tcPr>
        <w:shd w:val="clear" w:color="auto" w:fill="B3D1EB" w:themeFill="accent1" w:themeFillTint="75"/>
      </w:tcPr>
    </w:tblStylePr>
  </w:style>
  <w:style w:type="table" w:customStyle="1" w:styleId="90">
    <w:name w:val="Grid Table 5 Dark - Accent 2"/>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style>
  <w:style w:type="table" w:customStyle="1" w:styleId="91">
    <w:name w:val="Grid Table 5 Dark - Accent 3"/>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style>
  <w:style w:type="table" w:customStyle="1" w:styleId="92">
    <w:name w:val="Grid Table 5 Dark- Accent 4"/>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style>
  <w:style w:type="table" w:customStyle="1" w:styleId="93">
    <w:name w:val="Grid Table 5 Dark - Accent 5"/>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4472C4" w:themeFill="accent5"/>
      </w:tcPr>
    </w:tblStylePr>
    <w:tblStylePr w:type="lastRow">
      <w:rPr>
        <w:rFonts w:ascii="Arial" w:hAnsi="Arial"/>
        <w:b/>
        <w:color w:val="FFFFFF"/>
        <w:sz w:val="22"/>
      </w:rPr>
      <w:tcPr>
        <w:tcBorders>
          <w:top w:val="single" w:color="FFFFFF" w:themeColor="light1" w:sz="4" w:space="0"/>
        </w:tcBorders>
        <w:shd w:val="clear" w:color="auto" w:fill="4472C4" w:themeFill="accent5"/>
      </w:tcPr>
    </w:tblStylePr>
    <w:tblStylePr w:type="firstCol">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band1Vert">
      <w:tcPr>
        <w:shd w:val="clear" w:color="auto" w:fill="A9BEE3" w:themeFill="accent5" w:themeFillTint="75"/>
      </w:tcPr>
    </w:tblStylePr>
    <w:tblStylePr w:type="band1Horz">
      <w:tcPr>
        <w:shd w:val="clear" w:color="auto" w:fill="A9BEE3" w:themeFill="accent5" w:themeFillTint="75"/>
      </w:tcPr>
    </w:tblStylePr>
  </w:style>
  <w:style w:type="table" w:customStyle="1" w:styleId="94">
    <w:name w:val="Grid Table 5 Dark - Accent 6"/>
    <w:basedOn w:val="27"/>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style>
  <w:style w:type="table" w:customStyle="1" w:styleId="95">
    <w:name w:val="网格表 6 彩色1"/>
    <w:basedOn w:val="27"/>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basedOn w:val="27"/>
    <w:qFormat/>
    <w:uiPriority w:val="99"/>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auto"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basedOn w:val="27"/>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basedOn w:val="27"/>
    <w:qFormat/>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14:textFill>
          <w14:solidFill>
            <w14:schemeClr w14:val="accent3"/>
          </w14:solidFill>
        </w14:textFill>
      </w:rPr>
      <w:tcPr>
        <w:tcBorders>
          <w:bottom w:val="single" w:color="A5A5A5" w:themeColor="accent3" w:themeTint="FE" w:sz="12" w:space="0"/>
        </w:tcBorders>
      </w:tcPr>
    </w:tblStylePr>
    <w:tblStylePr w:type="lastRow">
      <w:rPr>
        <w:b/>
        <w:color w:val="A5A5A5" w:themeColor="accent3"/>
        <w14:textFill>
          <w14:solidFill>
            <w14:schemeClr w14:val="accent3"/>
          </w14:solidFill>
        </w14:textFill>
      </w:rPr>
    </w:tblStylePr>
    <w:tblStylePr w:type="firstCol">
      <w:rPr>
        <w:b/>
        <w:color w:val="A5A5A5" w:themeColor="accent3"/>
        <w14:textFill>
          <w14:solidFill>
            <w14:schemeClr w14:val="accent3"/>
          </w14:solidFill>
        </w14:textFill>
      </w:rPr>
    </w:tblStylePr>
    <w:tblStylePr w:type="lastCol">
      <w:rPr>
        <w:b/>
        <w:color w:val="A5A5A5" w:themeColor="accent3"/>
        <w14:textFill>
          <w14:solidFill>
            <w14:schemeClr w14:val="accent3"/>
          </w14:solidFill>
        </w14:textFill>
      </w:rPr>
    </w:tblStylePr>
    <w:tblStylePr w:type="band1Vert">
      <w:tcPr>
        <w:shd w:val="clear" w:color="auto"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auto"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99">
    <w:name w:val="Grid Table 6 Colorful - Accent 4"/>
    <w:basedOn w:val="27"/>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basedOn w:val="27"/>
    <w:qFormat/>
    <w:uiPriority w:val="99"/>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D8E2F2" w:themeFill="accent5" w:themeFillTint="34"/>
      </w:tcPr>
    </w:tblStylePr>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style>
  <w:style w:type="table" w:customStyle="1" w:styleId="101">
    <w:name w:val="Grid Table 6 Colorful - Accent 6"/>
    <w:basedOn w:val="27"/>
    <w:qFormat/>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E1EFD8" w:themeFill="accent6" w:themeFillTint="34"/>
      </w:tcPr>
    </w:tblStylePr>
    <w:tblStylePr w:type="band1Horz">
      <w:rPr>
        <w:rFonts w:ascii="Arial" w:hAnsi="Arial"/>
        <w:color w:val="254174" w:themeColor="accent5" w:themeShade="94"/>
        <w:sz w:val="22"/>
      </w:rPr>
      <w:tcPr>
        <w:shd w:val="clear" w:color="auto" w:fill="E1EFD8" w:themeFill="accent6" w:themeFillTint="34"/>
      </w:tcPr>
    </w:tblStylePr>
    <w:tblStylePr w:type="band2Horz">
      <w:rPr>
        <w:rFonts w:ascii="Arial" w:hAnsi="Arial"/>
        <w:color w:val="254174" w:themeColor="accent5" w:themeShade="94"/>
        <w:sz w:val="22"/>
      </w:rPr>
    </w:tblStylePr>
  </w:style>
  <w:style w:type="table" w:customStyle="1" w:styleId="102">
    <w:name w:val="网格表 7 彩色1"/>
    <w:basedOn w:val="27"/>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basedOn w:val="27"/>
    <w:qFormat/>
    <w:uiPriority w:val="99"/>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auto"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auto"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auto" w:fill="FFFFFF"/>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auto" w:fill="FFFFFF"/>
      </w:tcPr>
    </w:tblStylePr>
    <w:tblStylePr w:type="band1Vert">
      <w:tcPr>
        <w:shd w:val="clear" w:color="auto"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basedOn w:val="27"/>
    <w:qFormat/>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basedOn w:val="27"/>
    <w:qFormat/>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sz w:val="22"/>
        <w14:textFill>
          <w14:solidFill>
            <w14:schemeClr w14:val="accent3"/>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sz w:val="22"/>
        <w14:textFill>
          <w14:solidFill>
            <w14:schemeClr w14:val="accent3"/>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jc w:val="right"/>
      </w:pPr>
      <w:rPr>
        <w:rFonts w:ascii="Arial" w:hAnsi="Arial"/>
        <w:i/>
        <w:color w:val="A5A5A5" w:themeColor="accent3"/>
        <w:sz w:val="22"/>
        <w14:textFill>
          <w14:solidFill>
            <w14:schemeClr w14:val="accent3"/>
          </w14:solidFill>
        </w14:textFill>
      </w:rPr>
      <w:tcPr>
        <w:tcBorders>
          <w:top w:val="nil"/>
          <w:left w:val="nil"/>
          <w:bottom w:val="nil"/>
          <w:right w:val="single" w:color="A5A5A5" w:themeColor="accent3" w:themeTint="FE" w:sz="4" w:space="0"/>
        </w:tcBorders>
        <w:shd w:val="clear" w:color="auto" w:fill="FFFFFF"/>
      </w:tcPr>
    </w:tblStylePr>
    <w:tblStylePr w:type="lastCol">
      <w:rPr>
        <w:rFonts w:ascii="Arial" w:hAnsi="Arial"/>
        <w:i/>
        <w:color w:val="A5A5A5" w:themeColor="accent3"/>
        <w:sz w:val="22"/>
        <w14:textFill>
          <w14:solidFill>
            <w14:schemeClr w14:val="accent3"/>
          </w14:solidFill>
        </w14:textFill>
      </w:rPr>
      <w:tcPr>
        <w:tcBorders>
          <w:top w:val="nil"/>
          <w:left w:val="single" w:color="A5A5A5" w:themeColor="accent3" w:themeTint="FE" w:sz="4" w:space="0"/>
          <w:bottom w:val="nil"/>
          <w:right w:val="nil"/>
        </w:tcBorders>
        <w:shd w:val="clear" w:color="auto" w:fill="FFFFFF"/>
      </w:tcPr>
    </w:tblStylePr>
    <w:tblStylePr w:type="band1Vert">
      <w:tcPr>
        <w:shd w:val="clear" w:color="auto" w:fill="ECECEC" w:themeFill="accent3" w:themeFillTint="34"/>
      </w:tcPr>
    </w:tblStylePr>
    <w:tblStylePr w:type="band1Horz">
      <w:rPr>
        <w:rFonts w:ascii="Arial" w:hAnsi="Arial"/>
        <w:color w:val="A5A5A5" w:themeColor="accent3"/>
        <w:sz w:val="22"/>
        <w14:textFill>
          <w14:solidFill>
            <w14:schemeClr w14:val="accent3"/>
          </w14:solidFill>
        </w14:textFill>
      </w:rPr>
      <w:tcPr>
        <w:shd w:val="clear" w:color="auto" w:fill="ECECEC" w:themeFill="accent3" w:themeFillTint="34"/>
      </w:tcPr>
    </w:tblStylePr>
    <w:tblStylePr w:type="band2Horz">
      <w:rPr>
        <w:rFonts w:ascii="Arial" w:hAnsi="Arial"/>
        <w:color w:val="A5A5A5" w:themeColor="accent3"/>
        <w:sz w:val="22"/>
        <w14:textFill>
          <w14:solidFill>
            <w14:schemeClr w14:val="accent3"/>
          </w14:solidFill>
        </w14:textFill>
      </w:rPr>
    </w:tblStylePr>
  </w:style>
  <w:style w:type="table" w:customStyle="1" w:styleId="106">
    <w:name w:val="Grid Table 7 Colorful - Accent 4"/>
    <w:basedOn w:val="27"/>
    <w:qFormat/>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basedOn w:val="27"/>
    <w:qFormat/>
    <w:uiPriority w:val="99"/>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auto"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auto"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auto" w:fill="FFFFFF"/>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auto" w:fill="FFFFFF"/>
      </w:tcPr>
    </w:tblStylePr>
    <w:tblStylePr w:type="band1Vert">
      <w:tcPr>
        <w:shd w:val="clear" w:color="auto" w:fill="D8E2F2" w:themeFill="accent5" w:themeFillTint="34"/>
      </w:tcPr>
    </w:tblStylePr>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style>
  <w:style w:type="table" w:customStyle="1" w:styleId="108">
    <w:name w:val="Grid Table 7 Colorful - Accent 6"/>
    <w:basedOn w:val="27"/>
    <w:qFormat/>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FFFFFF"/>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FFFFFF"/>
      </w:tcPr>
    </w:tblStylePr>
    <w:tblStylePr w:type="band1Vert">
      <w:tcPr>
        <w:shd w:val="clear" w:color="auto" w:fill="E1EFD8" w:themeFill="accent6" w:themeFillTint="34"/>
      </w:tcPr>
    </w:tblStylePr>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style>
  <w:style w:type="table" w:customStyle="1" w:styleId="109">
    <w:name w:val="清单表 1 浅色1"/>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10">
    <w:name w:val="List Table 1 Light - Accent 1"/>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1" w:themeFillTint="40"/>
      </w:tcPr>
    </w:tblStylePr>
    <w:tblStylePr w:type="band1Horz">
      <w:tcPr>
        <w:shd w:val="clear" w:color="auto" w:fill="D5E5F4" w:themeFill="accent1" w:themeFillTint="40"/>
      </w:tcPr>
    </w:tblStylePr>
  </w:style>
  <w:style w:type="table" w:customStyle="1" w:styleId="111">
    <w:name w:val="List Table 1 Light - Accent 2"/>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style>
  <w:style w:type="table" w:customStyle="1" w:styleId="112">
    <w:name w:val="List Table 1 Light - Accent 3"/>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style>
  <w:style w:type="table" w:customStyle="1" w:styleId="113">
    <w:name w:val="List Table 1 Light - Accent 4"/>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style>
  <w:style w:type="table" w:customStyle="1" w:styleId="114">
    <w:name w:val="List Table 1 Light - Accent 5"/>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5" w:themeFillTint="40"/>
      </w:tcPr>
    </w:tblStylePr>
    <w:tblStylePr w:type="band1Horz">
      <w:tcPr>
        <w:shd w:val="clear" w:color="auto" w:fill="D0DBF0" w:themeFill="accent5" w:themeFillTint="40"/>
      </w:tcPr>
    </w:tblStylePr>
  </w:style>
  <w:style w:type="table" w:customStyle="1" w:styleId="115">
    <w:name w:val="List Table 1 Light - Accent 6"/>
    <w:basedOn w:val="27"/>
    <w:qFormat/>
    <w:uiPriority w:val="99"/>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style>
  <w:style w:type="table" w:customStyle="1" w:styleId="116">
    <w:name w:val="清单表 21"/>
    <w:basedOn w:val="27"/>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17">
    <w:name w:val="List Table 2 - Accent 1"/>
    <w:basedOn w:val="27"/>
    <w:qFormat/>
    <w:uiPriority w:val="99"/>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style>
  <w:style w:type="table" w:customStyle="1" w:styleId="118">
    <w:name w:val="List Table 2 - Accent 2"/>
    <w:basedOn w:val="27"/>
    <w:qFormat/>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19">
    <w:name w:val="List Table 2 - Accent 3"/>
    <w:basedOn w:val="27"/>
    <w:qFormat/>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20">
    <w:name w:val="List Table 2 - Accent 4"/>
    <w:basedOn w:val="27"/>
    <w:qFormat/>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21">
    <w:name w:val="List Table 2 - Accent 5"/>
    <w:basedOn w:val="27"/>
    <w:qFormat/>
    <w:uiPriority w:val="99"/>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style>
  <w:style w:type="table" w:customStyle="1" w:styleId="122">
    <w:name w:val="List Table 2 - Accent 6"/>
    <w:basedOn w:val="27"/>
    <w:qFormat/>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23">
    <w:name w:val="清单表 31"/>
    <w:basedOn w:val="2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basedOn w:val="27"/>
    <w:qFormat/>
    <w:uiPriority w:val="99"/>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5">
    <w:name w:val="List Table 3 - Accent 2"/>
    <w:basedOn w:val="27"/>
    <w:qFormat/>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6">
    <w:name w:val="List Table 3 - Accent 3"/>
    <w:basedOn w:val="27"/>
    <w:qFormat/>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7">
    <w:name w:val="List Table 3 - Accent 4"/>
    <w:basedOn w:val="27"/>
    <w:qFormat/>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8">
    <w:name w:val="List Table 3 - Accent 5"/>
    <w:basedOn w:val="27"/>
    <w:qFormat/>
    <w:uiPriority w:val="99"/>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auto"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29">
    <w:name w:val="List Table 3 - Accent 6"/>
    <w:basedOn w:val="27"/>
    <w:qFormat/>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0">
    <w:name w:val="清单表 41"/>
    <w:basedOn w:val="27"/>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31">
    <w:name w:val="List Table 4 - Accent 1"/>
    <w:basedOn w:val="27"/>
    <w:qFormat/>
    <w:uiPriority w:val="99"/>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style>
  <w:style w:type="table" w:customStyle="1" w:styleId="132">
    <w:name w:val="List Table 4 - Accent 2"/>
    <w:basedOn w:val="27"/>
    <w:qFormat/>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33">
    <w:name w:val="List Table 4 - Accent 3"/>
    <w:basedOn w:val="27"/>
    <w:qFormat/>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34">
    <w:name w:val="List Table 4 - Accent 4"/>
    <w:basedOn w:val="27"/>
    <w:qFormat/>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35">
    <w:name w:val="List Table 4 - Accent 5"/>
    <w:basedOn w:val="27"/>
    <w:qFormat/>
    <w:uiPriority w:val="99"/>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style>
  <w:style w:type="table" w:customStyle="1" w:styleId="136">
    <w:name w:val="List Table 4 - Accent 6"/>
    <w:basedOn w:val="27"/>
    <w:qFormat/>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37">
    <w:name w:val="清单表 5 深色1"/>
    <w:basedOn w:val="27"/>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38">
    <w:name w:val="List Table 5 Dark - Accent 1"/>
    <w:basedOn w:val="27"/>
    <w:qFormat/>
    <w:uiPriority w:val="99"/>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auto"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auto"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5B9BD5" w:themeFill="accent1"/>
      </w:tcPr>
    </w:tblStylePr>
    <w:tblStylePr w:type="band2Horz">
      <w:tcPr>
        <w:tcBorders>
          <w:top w:val="single" w:color="FFFFFF" w:themeColor="light1" w:sz="4" w:space="0"/>
          <w:bottom w:val="single" w:color="FFFFFF" w:themeColor="light1" w:sz="4" w:space="0"/>
        </w:tcBorders>
        <w:shd w:val="clear" w:color="auto" w:fill="5B9BD5" w:themeFill="accent1"/>
      </w:tcPr>
    </w:tblStylePr>
  </w:style>
  <w:style w:type="table" w:customStyle="1" w:styleId="139">
    <w:name w:val="List Table 5 Dark - Accent 2"/>
    <w:basedOn w:val="27"/>
    <w:qFormat/>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style>
  <w:style w:type="table" w:customStyle="1" w:styleId="140">
    <w:name w:val="List Table 5 Dark - Accent 3"/>
    <w:basedOn w:val="27"/>
    <w:qFormat/>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style>
  <w:style w:type="table" w:customStyle="1" w:styleId="141">
    <w:name w:val="List Table 5 Dark - Accent 4"/>
    <w:basedOn w:val="27"/>
    <w:qFormat/>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style>
  <w:style w:type="table" w:customStyle="1" w:styleId="142">
    <w:name w:val="List Table 5 Dark - Accent 5"/>
    <w:basedOn w:val="27"/>
    <w:qFormat/>
    <w:uiPriority w:val="99"/>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auto"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8EA9DB" w:themeFill="accent5" w:themeFillTint="9A"/>
      </w:tcPr>
    </w:tblStylePr>
    <w:tblStylePr w:type="band2Horz">
      <w:tcPr>
        <w:tcBorders>
          <w:top w:val="single" w:color="FFFFFF" w:themeColor="light1" w:sz="4" w:space="0"/>
          <w:bottom w:val="single" w:color="FFFFFF" w:themeColor="light1" w:sz="4" w:space="0"/>
        </w:tcBorders>
        <w:shd w:val="clear" w:color="auto" w:fill="8EA9DB" w:themeFill="accent5" w:themeFillTint="9A"/>
      </w:tcPr>
    </w:tblStylePr>
  </w:style>
  <w:style w:type="table" w:customStyle="1" w:styleId="143">
    <w:name w:val="List Table 5 Dark - Accent 6"/>
    <w:basedOn w:val="27"/>
    <w:qFormat/>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style>
  <w:style w:type="table" w:customStyle="1" w:styleId="144">
    <w:name w:val="清单表 6 彩色1"/>
    <w:basedOn w:val="27"/>
    <w:qFormat/>
    <w:uiPriority w:val="99"/>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basedOn w:val="27"/>
    <w:qFormat/>
    <w:uiPriority w:val="99"/>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auto" w:fill="D5E5F4" w:themeFill="accent1" w:themeFillTint="40"/>
      </w:tcPr>
    </w:tblStylePr>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style>
  <w:style w:type="table" w:customStyle="1" w:styleId="146">
    <w:name w:val="List Table 6 Colorful - Accent 2"/>
    <w:basedOn w:val="27"/>
    <w:qFormat/>
    <w:uiPriority w:val="99"/>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basedOn w:val="27"/>
    <w:qFormat/>
    <w:uiPriority w:val="99"/>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basedOn w:val="27"/>
    <w:qFormat/>
    <w:uiPriority w:val="99"/>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basedOn w:val="27"/>
    <w:qFormat/>
    <w:uiPriority w:val="99"/>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auto"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basedOn w:val="27"/>
    <w:qFormat/>
    <w:uiPriority w:val="99"/>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1">
    <w:name w:val="清单表 7 彩色1"/>
    <w:basedOn w:val="27"/>
    <w:qFormat/>
    <w:uiPriority w:val="99"/>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basedOn w:val="27"/>
    <w:qFormat/>
    <w:uiPriority w:val="99"/>
    <w:tblPr>
      <w:tblBorders>
        <w:right w:val="single" w:color="5B9BD5" w:themeColor="accent1" w:sz="4" w:space="0"/>
      </w:tblBorders>
      <w:tblCellMar>
        <w:top w:w="0" w:type="dxa"/>
        <w:left w:w="108" w:type="dxa"/>
        <w:bottom w:w="0" w:type="dxa"/>
        <w:right w:w="108" w:type="dxa"/>
      </w:tblCellMar>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auto"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auto"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auto" w:fill="FFFFFF"/>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auto" w:fill="FFFFFF"/>
      </w:tcPr>
    </w:tblStylePr>
    <w:tblStylePr w:type="band1Vert">
      <w:tcPr>
        <w:shd w:val="clear" w:color="auto" w:fill="D5E5F4" w:themeFill="accent1" w:themeFillTint="40"/>
      </w:tcPr>
    </w:tblStylePr>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style>
  <w:style w:type="table" w:customStyle="1" w:styleId="153">
    <w:name w:val="List Table 7 Colorful - Accent 2"/>
    <w:basedOn w:val="27"/>
    <w:qFormat/>
    <w:uiPriority w:val="99"/>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basedOn w:val="27"/>
    <w:qFormat/>
    <w:uiPriority w:val="99"/>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FFFFFF"/>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FFFFFF"/>
      </w:tc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basedOn w:val="27"/>
    <w:qFormat/>
    <w:uiPriority w:val="99"/>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basedOn w:val="27"/>
    <w:qFormat/>
    <w:uiPriority w:val="99"/>
    <w:tblPr>
      <w:tblBorders>
        <w:right w:val="single" w:color="8EA9DB" w:themeColor="accent5" w:themeTint="9A" w:sz="4" w:space="0"/>
      </w:tblBorders>
      <w:tblCellMar>
        <w:top w:w="0" w:type="dxa"/>
        <w:left w:w="108" w:type="dxa"/>
        <w:bottom w:w="0" w:type="dxa"/>
        <w:right w:w="108" w:type="dxa"/>
      </w:tblCellMar>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auto"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auto"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auto" w:fill="FFFFFF"/>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auto" w:fill="FFFFFF"/>
      </w:tcPr>
    </w:tblStylePr>
    <w:tblStylePr w:type="band1Vert">
      <w:tcPr>
        <w:shd w:val="clear" w:color="auto"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basedOn w:val="27"/>
    <w:qFormat/>
    <w:uiPriority w:val="99"/>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FFFFFF"/>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FFFFFF"/>
      </w:tc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8">
    <w:name w:val="Lined - Accent"/>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9">
    <w:name w:val="Lined - Accent 1"/>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60">
    <w:name w:val="Lined - Accent 2"/>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1">
    <w:name w:val="Lined - Accent 3"/>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2">
    <w:name w:val="Lined - Accent 4"/>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3">
    <w:name w:val="Lined - Accent 5"/>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style>
  <w:style w:type="table" w:customStyle="1" w:styleId="164">
    <w:name w:val="Lined - Accent 6"/>
    <w:basedOn w:val="27"/>
    <w:qFormat/>
    <w:uiPriority w:val="99"/>
    <w:rPr>
      <w:color w:val="404040"/>
    </w:rPr>
    <w:tblPr>
      <w:tblCellMar>
        <w:top w:w="0" w:type="dxa"/>
        <w:left w:w="108" w:type="dxa"/>
        <w:bottom w:w="0" w:type="dxa"/>
        <w:right w:w="108" w:type="dxa"/>
      </w:tblCellMar>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65">
    <w:name w:val="Bordered &amp; Lined - Accent"/>
    <w:basedOn w:val="27"/>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6">
    <w:name w:val="Bordered &amp; Lined - Accent 1"/>
    <w:basedOn w:val="27"/>
    <w:qFormat/>
    <w:uiPriority w:val="99"/>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67">
    <w:name w:val="Bordered &amp; Lined - Accent 2"/>
    <w:basedOn w:val="27"/>
    <w:qFormat/>
    <w:uiPriority w:val="99"/>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8">
    <w:name w:val="Bordered &amp; Lined - Accent 3"/>
    <w:basedOn w:val="27"/>
    <w:qFormat/>
    <w:uiPriority w:val="99"/>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9">
    <w:name w:val="Bordered &amp; Lined - Accent 4"/>
    <w:basedOn w:val="27"/>
    <w:qFormat/>
    <w:uiPriority w:val="99"/>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0">
    <w:name w:val="Bordered &amp; Lined - Accent 5"/>
    <w:basedOn w:val="27"/>
    <w:qFormat/>
    <w:uiPriority w:val="99"/>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style>
  <w:style w:type="table" w:customStyle="1" w:styleId="171">
    <w:name w:val="Bordered &amp; Lined - Accent 6"/>
    <w:basedOn w:val="27"/>
    <w:qFormat/>
    <w:uiPriority w:val="99"/>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72">
    <w:name w:val="Bordered"/>
    <w:basedOn w:val="27"/>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basedOn w:val="27"/>
    <w:qFormat/>
    <w:uiPriority w:val="99"/>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4">
    <w:name w:val="Bordered - Accent 2"/>
    <w:basedOn w:val="27"/>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5">
    <w:name w:val="Bordered - Accent 3"/>
    <w:basedOn w:val="27"/>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6">
    <w:name w:val="Bordered - Accent 4"/>
    <w:basedOn w:val="27"/>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7">
    <w:name w:val="Bordered - Accent 5"/>
    <w:basedOn w:val="27"/>
    <w:qFormat/>
    <w:uiPriority w:val="99"/>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78">
    <w:name w:val="Bordered - Accent 6"/>
    <w:basedOn w:val="27"/>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9">
    <w:name w:val="脚注文本 Char"/>
    <w:link w:val="22"/>
    <w:qFormat/>
    <w:uiPriority w:val="99"/>
    <w:rPr>
      <w:sz w:val="18"/>
    </w:rPr>
  </w:style>
  <w:style w:type="paragraph" w:customStyle="1" w:styleId="180">
    <w:name w:val="TOC 标题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宋体" w:cs="Times New Roman"/>
      <w:szCs w:val="22"/>
      <w:lang w:val="en-US" w:eastAsia="en-US" w:bidi="en-US"/>
    </w:rPr>
  </w:style>
  <w:style w:type="character" w:customStyle="1" w:styleId="181">
    <w:name w:val="font01"/>
    <w:basedOn w:val="29"/>
    <w:qFormat/>
    <w:uiPriority w:val="0"/>
    <w:rPr>
      <w:rFonts w:hint="eastAsia" w:ascii="宋体" w:hAnsi="宋体" w:eastAsia="宋体" w:cs="宋体"/>
      <w:color w:val="FF0000"/>
      <w:sz w:val="20"/>
      <w:szCs w:val="20"/>
      <w:u w:val="none"/>
    </w:rPr>
  </w:style>
  <w:style w:type="character" w:customStyle="1" w:styleId="182">
    <w:name w:val="font11"/>
    <w:basedOn w:val="29"/>
    <w:qFormat/>
    <w:uiPriority w:val="0"/>
    <w:rPr>
      <w:rFonts w:hint="eastAsia" w:ascii="宋体" w:hAnsi="宋体" w:eastAsia="宋体" w:cs="宋体"/>
      <w:color w:val="000000"/>
      <w:sz w:val="20"/>
      <w:szCs w:val="20"/>
      <w:u w:val="none"/>
    </w:rPr>
  </w:style>
  <w:style w:type="character" w:customStyle="1" w:styleId="183">
    <w:name w:val="页眉 Char"/>
    <w:link w:val="18"/>
    <w:qFormat/>
    <w:uiPriority w:val="99"/>
    <w:rPr>
      <w:sz w:val="18"/>
      <w:szCs w:val="18"/>
    </w:rPr>
  </w:style>
  <w:style w:type="paragraph" w:customStyle="1" w:styleId="184">
    <w:name w:val="Table Paragraph"/>
    <w:basedOn w:val="1"/>
    <w:qFormat/>
    <w:uiPriority w:val="1"/>
    <w:pPr>
      <w:spacing w:before="35"/>
    </w:pPr>
  </w:style>
  <w:style w:type="table" w:customStyle="1" w:styleId="185">
    <w:name w:val="Table Normal"/>
    <w:semiHidden/>
    <w:unhideWhenUsed/>
    <w:qFormat/>
    <w:uiPriority w:val="2"/>
    <w:tblPr>
      <w:tblCellMar>
        <w:top w:w="0" w:type="dxa"/>
        <w:left w:w="0" w:type="dxa"/>
        <w:bottom w:w="0" w:type="dxa"/>
        <w:right w:w="0" w:type="dxa"/>
      </w:tblCellMar>
    </w:tblPr>
  </w:style>
  <w:style w:type="character" w:customStyle="1" w:styleId="186">
    <w:name w:val="批注框文本 Char"/>
    <w:basedOn w:val="29"/>
    <w:link w:val="16"/>
    <w:semiHidden/>
    <w:qFormat/>
    <w:uiPriority w:val="99"/>
    <w:rPr>
      <w:sz w:val="18"/>
      <w:szCs w:val="18"/>
      <w:shd w:val="clear" w:color="auto"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08057-5A3C-4445-A12E-12BF3DB4CC24}">
  <ds:schemaRefs/>
</ds:datastoreItem>
</file>

<file path=docProps/app.xml><?xml version="1.0" encoding="utf-8"?>
<Properties xmlns="http://schemas.openxmlformats.org/officeDocument/2006/extended-properties" xmlns:vt="http://schemas.openxmlformats.org/officeDocument/2006/docPropsVTypes">
  <Template>Normal</Template>
  <Company>区教育局</Company>
  <Pages>11</Pages>
  <Words>818</Words>
  <Characters>4664</Characters>
  <Lines>38</Lines>
  <Paragraphs>10</Paragraphs>
  <TotalTime>1</TotalTime>
  <ScaleCrop>false</ScaleCrop>
  <LinksUpToDate>false</LinksUpToDate>
  <CharactersWithSpaces>5472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2020-04-25T18:32:00Z</dcterms:created>
  <dc:creator>Administrator</dc:creator>
  <cp:lastModifiedBy>admin</cp:lastModifiedBy>
  <cp:lastPrinted>2024-03-25T09:45:00Z</cp:lastPrinted>
  <dcterms:modified xsi:type="dcterms:W3CDTF">2024-04-08T03:55:20Z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2A35E902217B42A7A104571658BB5364</vt:lpwstr>
  </property>
</Properties>
</file>