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napToGrid w:val="0"/>
        <w:spacing w:line="360" w:lineRule="auto"/>
        <w:jc w:val="left"/>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附件1</w:t>
      </w:r>
    </w:p>
    <w:p>
      <w:pPr>
        <w:keepNext w:val="0"/>
        <w:keepLines w:val="0"/>
        <w:pageBreakBefore w:val="0"/>
        <w:snapToGrid w:val="0"/>
        <w:spacing w:line="240" w:lineRule="auto"/>
        <w:jc w:val="center"/>
        <w:rPr>
          <w:rFonts w:hint="eastAsia" w:ascii="方正小标宋简体" w:hAnsi="方正小标宋简体" w:eastAsia="方正小标宋简体" w:cs="方正小标宋简体"/>
          <w:snapToGrid w:val="0"/>
          <w:color w:val="auto"/>
          <w:sz w:val="44"/>
          <w:szCs w:val="44"/>
        </w:rPr>
      </w:pPr>
      <w:r>
        <w:rPr>
          <w:rFonts w:hint="eastAsia" w:ascii="方正小标宋简体" w:hAnsi="方正小标宋简体" w:eastAsia="方正小标宋简体" w:cs="方正小标宋简体"/>
          <w:snapToGrid w:val="0"/>
          <w:color w:val="auto"/>
          <w:sz w:val="44"/>
          <w:szCs w:val="44"/>
          <w:lang w:eastAsia="zh-CN"/>
        </w:rPr>
        <w:t>花都区</w:t>
      </w:r>
      <w:r>
        <w:rPr>
          <w:rFonts w:hint="eastAsia" w:ascii="方正小标宋简体" w:hAnsi="方正小标宋简体" w:eastAsia="方正小标宋简体" w:cs="方正小标宋简体"/>
          <w:snapToGrid w:val="0"/>
          <w:color w:val="auto"/>
          <w:sz w:val="44"/>
          <w:szCs w:val="44"/>
        </w:rPr>
        <w:t>民办义务教育学校招生工作</w:t>
      </w:r>
    </w:p>
    <w:p>
      <w:pPr>
        <w:keepNext w:val="0"/>
        <w:keepLines w:val="0"/>
        <w:pageBreakBefore w:val="0"/>
        <w:snapToGrid w:val="0"/>
        <w:spacing w:line="240" w:lineRule="auto"/>
        <w:jc w:val="center"/>
        <w:rPr>
          <w:rFonts w:hint="eastAsia" w:ascii="方正小标宋简体" w:hAnsi="方正小标宋简体" w:eastAsia="方正小标宋简体" w:cs="方正小标宋简体"/>
          <w:snapToGrid w:val="0"/>
          <w:color w:val="auto"/>
          <w:sz w:val="44"/>
          <w:szCs w:val="44"/>
        </w:rPr>
      </w:pPr>
      <w:r>
        <w:rPr>
          <w:rFonts w:hint="eastAsia" w:ascii="方正小标宋简体" w:hAnsi="方正小标宋简体" w:eastAsia="方正小标宋简体" w:cs="方正小标宋简体"/>
          <w:snapToGrid w:val="0"/>
          <w:color w:val="auto"/>
          <w:sz w:val="44"/>
          <w:szCs w:val="44"/>
          <w:lang w:val="en-US" w:eastAsia="zh-CN"/>
        </w:rPr>
        <w:t>实施</w:t>
      </w:r>
      <w:r>
        <w:rPr>
          <w:rFonts w:hint="eastAsia" w:ascii="方正小标宋简体" w:hAnsi="方正小标宋简体" w:eastAsia="方正小标宋简体" w:cs="方正小标宋简体"/>
          <w:snapToGrid w:val="0"/>
          <w:color w:val="auto"/>
          <w:sz w:val="44"/>
          <w:szCs w:val="44"/>
        </w:rPr>
        <w:t>方案</w:t>
      </w:r>
    </w:p>
    <w:p>
      <w:pPr>
        <w:keepNext w:val="0"/>
        <w:keepLines w:val="0"/>
        <w:pageBreakBefore w:val="0"/>
        <w:spacing w:line="360" w:lineRule="auto"/>
        <w:jc w:val="center"/>
        <w:rPr>
          <w:rFonts w:ascii="方正小标宋简体" w:hAnsi="方正小标宋简体" w:eastAsia="方正小标宋简体" w:cs="方正小标宋简体"/>
          <w:snapToGrid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为进一步规范我</w:t>
      </w:r>
      <w:r>
        <w:rPr>
          <w:rFonts w:hint="eastAsia" w:eastAsia="仿宋_GB2312"/>
          <w:color w:val="000000" w:themeColor="text1"/>
          <w:sz w:val="32"/>
          <w:szCs w:val="32"/>
          <w:highlight w:val="none"/>
          <w:lang w:eastAsia="zh-CN"/>
          <w14:textFill>
            <w14:solidFill>
              <w14:schemeClr w14:val="tx1"/>
            </w14:solidFill>
          </w14:textFill>
        </w:rPr>
        <w:t>区</w:t>
      </w:r>
      <w:r>
        <w:rPr>
          <w:rFonts w:eastAsia="仿宋_GB2312"/>
          <w:color w:val="000000" w:themeColor="text1"/>
          <w:sz w:val="32"/>
          <w:szCs w:val="32"/>
          <w:highlight w:val="none"/>
          <w14:textFill>
            <w14:solidFill>
              <w14:schemeClr w14:val="tx1"/>
            </w14:solidFill>
          </w14:textFill>
        </w:rPr>
        <w:t>民办义务教育学校招生工作，促进教育公平，根据《中华人民共和国义务教育法》《中共中央 国务院关于深化教育教学改革全面提高义务教育质量的意见》等法律法规及相关政策文件精神，并结合我</w:t>
      </w:r>
      <w:r>
        <w:rPr>
          <w:rFonts w:hint="eastAsia" w:eastAsia="仿宋_GB2312"/>
          <w:color w:val="000000" w:themeColor="text1"/>
          <w:sz w:val="32"/>
          <w:szCs w:val="32"/>
          <w:highlight w:val="none"/>
          <w:lang w:eastAsia="zh-CN"/>
          <w14:textFill>
            <w14:solidFill>
              <w14:schemeClr w14:val="tx1"/>
            </w14:solidFill>
          </w14:textFill>
        </w:rPr>
        <w:t>区</w:t>
      </w:r>
      <w:r>
        <w:rPr>
          <w:rFonts w:eastAsia="仿宋_GB2312"/>
          <w:color w:val="000000" w:themeColor="text1"/>
          <w:sz w:val="32"/>
          <w:szCs w:val="32"/>
          <w:highlight w:val="none"/>
          <w14:textFill>
            <w14:solidFill>
              <w14:schemeClr w14:val="tx1"/>
            </w14:solidFill>
          </w14:textFill>
        </w:rPr>
        <w:t>实际，制定本方案。</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贯彻落实全国教育大会精神和上级政策要求，坚持义务教育免试入学原则，规范义务教育招生入学工作秩序，切实减轻学生过重课业负担，促进民办教育健康可持续发展，全面提高义务教育学校办学质量。</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二、基本原则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（一）坚持</w:t>
      </w:r>
      <w:r>
        <w:rPr>
          <w:rFonts w:hint="eastAsia" w:eastAsia="仿宋_GB2312"/>
          <w:color w:val="000000" w:themeColor="text1"/>
          <w:sz w:val="32"/>
          <w:szCs w:val="32"/>
          <w:highlight w:val="none"/>
          <w:lang w:eastAsia="zh-CN"/>
          <w14:textFill>
            <w14:solidFill>
              <w14:schemeClr w14:val="tx1"/>
            </w14:solidFill>
          </w14:textFill>
        </w:rPr>
        <w:t>属地管理原则</w:t>
      </w:r>
      <w:r>
        <w:rPr>
          <w:rFonts w:eastAsia="仿宋_GB2312"/>
          <w:color w:val="000000" w:themeColor="text1"/>
          <w:sz w:val="32"/>
          <w:szCs w:val="32"/>
          <w:highlight w:val="none"/>
          <w14:textFill>
            <w14:solidFill>
              <w14:schemeClr w14:val="tx1"/>
            </w14:solidFill>
          </w14:textFill>
        </w:rPr>
        <w:t>。各</w:t>
      </w:r>
      <w:r>
        <w:rPr>
          <w:rFonts w:hint="eastAsia" w:eastAsia="仿宋_GB2312"/>
          <w:color w:val="000000" w:themeColor="text1"/>
          <w:sz w:val="32"/>
          <w:szCs w:val="32"/>
          <w:highlight w:val="none"/>
          <w:lang w:eastAsia="zh-CN"/>
          <w14:textFill>
            <w14:solidFill>
              <w14:schemeClr w14:val="tx1"/>
            </w14:solidFill>
          </w14:textFill>
        </w:rPr>
        <w:t>镇（街）</w:t>
      </w:r>
      <w:r>
        <w:rPr>
          <w:rFonts w:eastAsia="仿宋_GB2312"/>
          <w:color w:val="000000" w:themeColor="text1"/>
          <w:sz w:val="32"/>
          <w:szCs w:val="32"/>
          <w:highlight w:val="none"/>
          <w14:textFill>
            <w14:solidFill>
              <w14:schemeClr w14:val="tx1"/>
            </w14:solidFill>
          </w14:textFill>
        </w:rPr>
        <w:t>教育</w:t>
      </w:r>
      <w:r>
        <w:rPr>
          <w:rFonts w:hint="eastAsia" w:eastAsia="仿宋_GB2312"/>
          <w:color w:val="000000" w:themeColor="text1"/>
          <w:sz w:val="32"/>
          <w:szCs w:val="32"/>
          <w:highlight w:val="none"/>
          <w:lang w:eastAsia="zh-CN"/>
          <w14:textFill>
            <w14:solidFill>
              <w14:schemeClr w14:val="tx1"/>
            </w14:solidFill>
          </w14:textFill>
        </w:rPr>
        <w:t>指导中心</w:t>
      </w:r>
      <w:r>
        <w:rPr>
          <w:rFonts w:eastAsia="仿宋_GB2312"/>
          <w:color w:val="000000" w:themeColor="text1"/>
          <w:sz w:val="32"/>
          <w:szCs w:val="32"/>
          <w:highlight w:val="none"/>
          <w14:textFill>
            <w14:solidFill>
              <w14:schemeClr w14:val="tx1"/>
            </w14:solidFill>
          </w14:textFill>
        </w:rPr>
        <w:t>负责</w:t>
      </w:r>
      <w:r>
        <w:rPr>
          <w:rFonts w:hint="eastAsia" w:eastAsia="仿宋_GB2312"/>
          <w:color w:val="000000" w:themeColor="text1"/>
          <w:sz w:val="32"/>
          <w:szCs w:val="32"/>
          <w:highlight w:val="none"/>
          <w:lang w:eastAsia="zh-CN"/>
          <w14:textFill>
            <w14:solidFill>
              <w14:schemeClr w14:val="tx1"/>
            </w14:solidFill>
          </w14:textFill>
        </w:rPr>
        <w:t>统筹协调</w:t>
      </w:r>
      <w:r>
        <w:rPr>
          <w:rFonts w:eastAsia="仿宋_GB2312"/>
          <w:color w:val="000000" w:themeColor="text1"/>
          <w:sz w:val="32"/>
          <w:szCs w:val="32"/>
          <w:highlight w:val="none"/>
          <w14:textFill>
            <w14:solidFill>
              <w14:schemeClr w14:val="tx1"/>
            </w14:solidFill>
          </w14:textFill>
        </w:rPr>
        <w:t>辖内民办义务教育学校开展招生工作。</w:t>
      </w:r>
    </w:p>
    <w:p>
      <w:pPr>
        <w:keepNext w:val="0"/>
        <w:keepLines w:val="0"/>
        <w:pageBreakBefore w:val="0"/>
        <w:kinsoku/>
        <w:wordWrap/>
        <w:overflowPunct/>
        <w:topLinePunct w:val="0"/>
        <w:autoSpaceDE/>
        <w:autoSpaceDN/>
        <w:bidi w:val="0"/>
        <w:adjustRightInd/>
        <w:snapToGrid w:val="0"/>
        <w:spacing w:line="540" w:lineRule="exact"/>
        <w:ind w:firstLine="675"/>
        <w:textAlignment w:val="auto"/>
        <w:rPr>
          <w:rFonts w:eastAsia="仿宋_GB2312"/>
          <w:snapToGrid w:val="0"/>
          <w:color w:val="000000" w:themeColor="text1"/>
          <w:sz w:val="32"/>
          <w:szCs w:val="32"/>
          <w:highlight w:val="none"/>
          <w14:textFill>
            <w14:solidFill>
              <w14:schemeClr w14:val="tx1"/>
            </w14:solidFill>
          </w14:textFill>
        </w:rPr>
      </w:pPr>
      <w:r>
        <w:rPr>
          <w:rFonts w:eastAsia="仿宋_GB2312"/>
          <w:snapToGrid w:val="0"/>
          <w:color w:val="000000" w:themeColor="text1"/>
          <w:sz w:val="32"/>
          <w:szCs w:val="32"/>
          <w:highlight w:val="none"/>
          <w14:textFill>
            <w14:solidFill>
              <w14:schemeClr w14:val="tx1"/>
            </w14:solidFill>
          </w14:textFill>
        </w:rPr>
        <w:t>（二）坚持目标导向。按照全覆盖的工作目标推进，确保所有民办义务教育学校都按要求落实。</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eastAsia="仿宋_GB2312"/>
          <w:snapToGrid w:val="0"/>
          <w:color w:val="000000" w:themeColor="text1"/>
          <w:sz w:val="32"/>
          <w:szCs w:val="32"/>
          <w:highlight w:val="none"/>
          <w14:textFill>
            <w14:solidFill>
              <w14:schemeClr w14:val="tx1"/>
            </w14:solidFill>
          </w14:textFill>
        </w:rPr>
      </w:pPr>
      <w:r>
        <w:rPr>
          <w:rFonts w:hint="eastAsia" w:eastAsia="仿宋_GB2312"/>
          <w:snapToGrid w:val="0"/>
          <w:color w:val="000000" w:themeColor="text1"/>
          <w:sz w:val="32"/>
          <w:szCs w:val="32"/>
          <w:highlight w:val="none"/>
          <w14:textFill>
            <w14:solidFill>
              <w14:schemeClr w14:val="tx1"/>
            </w14:solidFill>
          </w14:textFill>
        </w:rPr>
        <w:t>（三）坚持免试入学。所有民办义务教育学校都要严格执行免试入学规定。</w:t>
      </w:r>
    </w:p>
    <w:p>
      <w:pPr>
        <w:keepNext w:val="0"/>
        <w:keepLines w:val="0"/>
        <w:pageBreakBefore w:val="0"/>
        <w:kinsoku/>
        <w:wordWrap/>
        <w:overflowPunct/>
        <w:topLinePunct w:val="0"/>
        <w:autoSpaceDE/>
        <w:autoSpaceDN/>
        <w:bidi w:val="0"/>
        <w:adjustRightInd/>
        <w:spacing w:line="540" w:lineRule="exact"/>
        <w:ind w:firstLine="640"/>
        <w:jc w:val="both"/>
        <w:textAlignment w:val="auto"/>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三、招生要求</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（一）按规定的招生范围招生。本区内民办义务教育阶段学</w:t>
      </w:r>
      <w:r>
        <w:rPr>
          <w:rFonts w:hint="eastAsia" w:ascii="仿宋_GB2312" w:hAnsi="仿宋_GB2312" w:eastAsia="仿宋_GB2312" w:cs="仿宋_GB2312"/>
          <w:color w:val="000000" w:themeColor="text1"/>
          <w:sz w:val="32"/>
          <w:szCs w:val="32"/>
          <w:highlight w:val="none"/>
          <w14:textFill>
            <w14:solidFill>
              <w14:schemeClr w14:val="tx1"/>
            </w14:solidFill>
          </w14:textFill>
        </w:rPr>
        <w:t>校原则上面向花都区内招生，无寄宿条件的民办学校不得跨区招生。有寄宿条件且确有跨区招生需求的民办学校，需向花都区教育局提交跨区招生申请（含学校生源分布、宿位数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量</w:t>
      </w:r>
      <w:r>
        <w:rPr>
          <w:rFonts w:hint="eastAsia" w:ascii="仿宋_GB2312" w:hAnsi="仿宋_GB2312" w:eastAsia="仿宋_GB2312" w:cs="仿宋_GB2312"/>
          <w:color w:val="000000" w:themeColor="text1"/>
          <w:sz w:val="32"/>
          <w:szCs w:val="32"/>
          <w:highlight w:val="none"/>
          <w14:textFill>
            <w14:solidFill>
              <w14:schemeClr w14:val="tx1"/>
            </w14:solidFill>
          </w14:textFill>
        </w:rPr>
        <w:t>、拟跨区招生计划数等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，九年制民办学校申请跨区招生计划时应首先满足本校小学直升学生的寄宿需要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），花都区教育局初步核定后报广州市教育局核准。各校跨区招生计划不得超过本校总计划的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且不得跨市招生。关于属地区生源的界定依据为：穗籍学生，以其户籍，或其小学毕业学籍界定属地区；非穗籍学生，以其本人或父母（或其他法定监护人）其中一方的《广东省居住证》（或具同等功能和效力的其他有效证件）地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等为主要依据</w:t>
      </w:r>
      <w:r>
        <w:rPr>
          <w:rFonts w:hint="eastAsia" w:ascii="仿宋_GB2312" w:hAnsi="仿宋_GB2312" w:eastAsia="仿宋_GB2312" w:cs="仿宋_GB2312"/>
          <w:color w:val="000000" w:themeColor="text1"/>
          <w:sz w:val="32"/>
          <w:szCs w:val="32"/>
          <w:highlight w:val="none"/>
          <w14:textFill>
            <w14:solidFill>
              <w14:schemeClr w14:val="tx1"/>
            </w14:solidFill>
          </w14:textFill>
        </w:rPr>
        <w:t>界定属地区。</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报名人数超过招生计划的民办义务教育阶段学校，其招生计划均通过电脑派位方式随机录取。继续实行民办小学和民办初中招生全市统一平台网上报名，报名结束后由花都区教育局组织实施本辖区内民办义务教育阶段学校电脑派位工作。任何民办义务教育阶段学校不得拒绝接收经电脑派位确定录取资格且在花都区教育局规定时间内报到注册的学生。</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（三）招生简章、公告备案。民办学校的招生简章、公告（含通过学校网站、微信公众号等渠道发布的招生宣传信息），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14:textFill>
            <w14:solidFill>
              <w14:schemeClr w14:val="tx1"/>
            </w14:solidFill>
          </w14:textFill>
        </w:rPr>
        <w:t>花都区教育局审核、备案后方可发布。</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四、招生办法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集团化办学民办学校（园）直升办法。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结合我区实际，花都区辖区内集团化办学民办学校（幼儿园）在校（园）学生以自愿原则，实行直升方式升学（严禁择优）。</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如符合直升条件且自愿报读集团内学校的学生人数大于集团内学校招生计划，则由花都区教育局统一组织电脑派位，确定录取资格。</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1.花都区辖区内民办</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学校（幼儿园）集团化办学属性由花都区教育局审核认定，办学集团的成立、纳新、退出等需经花都区教育局批准。民办学校（幼儿园）集团化办学需</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同时满足</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以下条件：</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民办幼儿园、民办中小学为同一举办者或同一法定代表人：</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同一举办者</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，以《中华人民共和国民办学校办学许可证》为准（需在有效期内）；同一法定代表人的，以民办非企业登记证或工商营业执照（营利性）为准（需在有效期内）。</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）教育集团学校经花都区教育</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局</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发文认定。</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2.经</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花都区教育</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局审核认定为集团化办学的，集团内学校优先招收符合集团内直升条件的学生，还有剩余招生计划的，面向社会招生。具体办法如下：</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（1）集团化办学幼儿园直升小学。属于上述“1”所述同一办学集团的，集团内幼儿园适龄儿童直升集团内小学学校，以自愿为原则。</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其直升需符合以下条件：</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至少近两学年连续在本园入读，</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以幼儿学籍</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及缴费凭证为准（缴费凭证为税务部门开具的发票）。</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由幼儿园提供直升的</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幼儿</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名册以及放弃直升的</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幼儿</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名册（必须附上家长签名的放弃直升确认书），属地教育指导中心和花都区教育局进行审核，符合直升条件的</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幼儿</w:t>
      </w:r>
      <w:r>
        <w:rPr>
          <w:rFonts w:hint="eastAsia" w:ascii="仿宋_GB2312" w:hAnsi="仿宋_GB2312" w:eastAsia="仿宋_GB2312" w:cs="仿宋_GB2312"/>
          <w:bCs/>
          <w:color w:val="000000" w:themeColor="text1"/>
          <w:sz w:val="32"/>
          <w:szCs w:val="32"/>
          <w:highlight w:val="none"/>
          <w:u w:val="none"/>
          <w:shd w:val="clear" w:color="auto" w:fill="auto"/>
          <w14:textFill>
            <w14:solidFill>
              <w14:schemeClr w14:val="tx1"/>
            </w14:solidFill>
          </w14:textFill>
        </w:rPr>
        <w:t>方可直升。</w:t>
      </w:r>
      <w:r>
        <w:rPr>
          <w:rFonts w:hint="eastAsia" w:ascii="仿宋_GB2312" w:hAnsi="仿宋_GB2312" w:eastAsia="仿宋_GB2312" w:cs="仿宋_GB2312"/>
          <w:bCs/>
          <w:color w:val="000000" w:themeColor="text1"/>
          <w:sz w:val="32"/>
          <w:szCs w:val="32"/>
          <w:highlight w:val="none"/>
          <w:u w:val="none"/>
          <w:shd w:val="clear" w:color="auto" w:fill="auto"/>
          <w:lang w:eastAsia="zh-CN"/>
          <w14:textFill>
            <w14:solidFill>
              <w14:schemeClr w14:val="tx1"/>
            </w14:solidFill>
          </w14:textFill>
        </w:rPr>
        <w:t>申请直升的幼儿人数</w:t>
      </w:r>
      <w:r>
        <w:rPr>
          <w:rFonts w:hint="eastAsia" w:ascii="仿宋_GB2312" w:hAnsi="仿宋_GB2312" w:eastAsia="仿宋_GB2312" w:cs="仿宋_GB2312"/>
          <w:bCs/>
          <w:color w:val="000000" w:themeColor="text1"/>
          <w:sz w:val="32"/>
          <w:szCs w:val="32"/>
          <w:highlight w:val="none"/>
          <w:u w:val="none"/>
          <w:shd w:val="clear" w:color="auto" w:fill="auto"/>
          <w:lang w:val="en-US" w:eastAsia="zh-CN"/>
          <w14:textFill>
            <w14:solidFill>
              <w14:schemeClr w14:val="tx1"/>
            </w14:solidFill>
          </w14:textFill>
        </w:rPr>
        <w:t>必须在教育行政部门核定的办园规模内。</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（2）集团化办学小学毕业生直升初中。属于同一办学集团的，集团内小学毕业生直升集团内初中学校，以自愿为原则。其直升需符合以下条件：小学毕业生近</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学年（即</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三</w:t>
      </w:r>
      <w:r>
        <w:rPr>
          <w:rFonts w:hint="eastAsia" w:ascii="仿宋_GB2312" w:hAnsi="仿宋_GB2312" w:eastAsia="仿宋_GB2312" w:cs="仿宋_GB2312"/>
          <w:bCs/>
          <w:strike w:val="0"/>
          <w:color w:val="000000" w:themeColor="text1"/>
          <w:sz w:val="32"/>
          <w:szCs w:val="32"/>
          <w:highlight w:val="none"/>
          <w:u w:val="none"/>
          <w14:textFill>
            <w14:solidFill>
              <w14:schemeClr w14:val="tx1"/>
            </w14:solidFill>
          </w14:textFill>
        </w:rPr>
        <w:t>至</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六年级）连续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strike w:val="0"/>
          <w:dstrike w:val="0"/>
          <w:color w:val="000000" w:themeColor="text1"/>
          <w:sz w:val="32"/>
          <w:szCs w:val="32"/>
          <w:highlight w:val="none"/>
          <w:u w:val="none"/>
          <w14:textFill>
            <w14:solidFill>
              <w14:schemeClr w14:val="tx1"/>
            </w14:solidFill>
          </w14:textFill>
        </w:rPr>
        <w:t>202</w:t>
      </w:r>
      <w:r>
        <w:rPr>
          <w:rFonts w:hint="eastAsia" w:ascii="仿宋_GB2312" w:hAnsi="仿宋_GB2312" w:eastAsia="仿宋_GB2312" w:cs="仿宋_GB2312"/>
          <w:strike w:val="0"/>
          <w:dstrike w:val="0"/>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年本集团内小学毕业生直升集团内初中学校，需满足近四学年（即三至六年级）连续在本校就读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并具有四年本校完整学籍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u w:val="none"/>
          <w14:textFill>
            <w14:solidFill>
              <w14:schemeClr w14:val="tx1"/>
            </w14:solidFill>
          </w14:textFill>
        </w:rPr>
        <w:t>（二）</w:t>
      </w:r>
      <w:r>
        <w:rPr>
          <w:rFonts w:hint="eastAsia" w:ascii="楷体_GB2312" w:hAnsi="楷体_GB2312" w:eastAsia="楷体_GB2312" w:cs="楷体_GB2312"/>
          <w:b w:val="0"/>
          <w:bCs/>
          <w:color w:val="000000" w:themeColor="text1"/>
          <w:sz w:val="32"/>
          <w:szCs w:val="32"/>
          <w:highlight w:val="none"/>
          <w:u w:val="none"/>
          <w:lang w:eastAsia="zh-CN"/>
          <w14:textFill>
            <w14:solidFill>
              <w14:schemeClr w14:val="tx1"/>
            </w14:solidFill>
          </w14:textFill>
        </w:rPr>
        <w:t>九年制民办学校直升办法。</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九年制民办学校（小学和初中为同一办学许可证、在同一用地红线范围内）初中招生，以小学毕业生自愿为原则，优先招收本校符合直升条件的小学毕业生，还有剩余招生计划的，面向社会招生。直升需符合以下条件：小学毕业生近三学年连续（即四</w:t>
      </w:r>
      <w:r>
        <w:rPr>
          <w:rFonts w:hint="eastAsia" w:ascii="仿宋_GB2312" w:hAnsi="仿宋_GB2312" w:eastAsia="仿宋_GB2312" w:cs="仿宋_GB2312"/>
          <w:bCs/>
          <w:strike w:val="0"/>
          <w:color w:val="000000" w:themeColor="text1"/>
          <w:sz w:val="32"/>
          <w:szCs w:val="32"/>
          <w:highlight w:val="none"/>
          <w:u w:val="none"/>
          <w14:textFill>
            <w14:solidFill>
              <w14:schemeClr w14:val="tx1"/>
            </w14:solidFill>
          </w14:textFill>
        </w:rPr>
        <w:t>至</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六年级）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bCs/>
          <w:strike w:val="0"/>
          <w:color w:val="000000" w:themeColor="text1"/>
          <w:sz w:val="32"/>
          <w:szCs w:val="32"/>
          <w:highlight w:val="none"/>
          <w:u w:val="none"/>
          <w14:textFill>
            <w14:solidFill>
              <w14:schemeClr w14:val="tx1"/>
            </w14:solidFill>
          </w14:textFill>
        </w:rPr>
        <w:t>202</w:t>
      </w:r>
      <w:r>
        <w:rPr>
          <w:rFonts w:hint="eastAsia" w:ascii="仿宋_GB2312" w:hAnsi="仿宋_GB2312" w:eastAsia="仿宋_GB2312" w:cs="仿宋_GB2312"/>
          <w:bCs/>
          <w:strike w:val="0"/>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Cs/>
          <w:strike w:val="0"/>
          <w:color w:val="000000" w:themeColor="text1"/>
          <w:sz w:val="32"/>
          <w:szCs w:val="32"/>
          <w:highlight w:val="none"/>
          <w:u w:val="none"/>
          <w14:textFill>
            <w14:solidFill>
              <w14:schemeClr w14:val="tx1"/>
            </w14:solidFill>
          </w14:textFill>
        </w:rPr>
        <w:t>年小学毕业生需满足近三学年（即四至六年级）连续在本</w:t>
      </w:r>
      <w:r>
        <w:rPr>
          <w:rFonts w:hint="eastAsia" w:ascii="仿宋_GB2312" w:hAnsi="仿宋_GB2312" w:eastAsia="仿宋_GB2312" w:cs="仿宋_GB2312"/>
          <w:bCs/>
          <w:strike w:val="0"/>
          <w:color w:val="000000" w:themeColor="text1"/>
          <w:sz w:val="32"/>
          <w:szCs w:val="32"/>
          <w:highlight w:val="none"/>
          <w:u w:val="none"/>
          <w:lang w:eastAsia="zh-CN"/>
          <w14:textFill>
            <w14:solidFill>
              <w14:schemeClr w14:val="tx1"/>
            </w14:solidFill>
          </w14:textFill>
        </w:rPr>
        <w:t>校</w:t>
      </w:r>
      <w:r>
        <w:rPr>
          <w:rFonts w:hint="eastAsia" w:ascii="仿宋_GB2312" w:hAnsi="仿宋_GB2312" w:eastAsia="仿宋_GB2312" w:cs="仿宋_GB2312"/>
          <w:bCs/>
          <w:strike w:val="0"/>
          <w:color w:val="000000" w:themeColor="text1"/>
          <w:sz w:val="32"/>
          <w:szCs w:val="32"/>
          <w:highlight w:val="none"/>
          <w:u w:val="none"/>
          <w14:textFill>
            <w14:solidFill>
              <w14:schemeClr w14:val="tx1"/>
            </w14:solidFill>
          </w14:textFill>
        </w:rPr>
        <w:t>就读</w:t>
      </w:r>
      <w:r>
        <w:rPr>
          <w:rFonts w:hint="eastAsia" w:ascii="仿宋_GB2312" w:hAnsi="仿宋_GB2312" w:eastAsia="仿宋_GB2312" w:cs="仿宋_GB2312"/>
          <w:bCs/>
          <w:strike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并具有三年本校完整学籍</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w:t>
      </w:r>
    </w:p>
    <w:p>
      <w:pPr>
        <w:keepNext w:val="0"/>
        <w:keepLines w:val="0"/>
        <w:pageBreakBefore w:val="0"/>
        <w:widowControl/>
        <w:tabs>
          <w:tab w:val="left" w:pos="1440"/>
        </w:tabs>
        <w:kinsoku/>
        <w:wordWrap/>
        <w:overflowPunct/>
        <w:topLinePunct w:val="0"/>
        <w:autoSpaceDE/>
        <w:autoSpaceDN/>
        <w:bidi w:val="0"/>
        <w:adjustRightInd/>
        <w:snapToGrid w:val="0"/>
        <w:spacing w:line="540" w:lineRule="exact"/>
        <w:ind w:right="80" w:firstLine="707"/>
        <w:jc w:val="left"/>
        <w:textAlignment w:val="auto"/>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如符合直升条件且自愿报读本校初中的小学毕业生人数大于本校初中招生计划，则由</w:t>
      </w:r>
      <w:r>
        <w:rPr>
          <w:rFonts w:hint="eastAsia" w:ascii="仿宋_GB2312" w:hAnsi="仿宋_GB2312" w:eastAsia="仿宋_GB2312" w:cs="仿宋_GB2312"/>
          <w:bCs/>
          <w:color w:val="000000" w:themeColor="text1"/>
          <w:sz w:val="32"/>
          <w:szCs w:val="32"/>
          <w:highlight w:val="none"/>
          <w:u w:val="none"/>
          <w:lang w:eastAsia="zh-CN"/>
          <w14:textFill>
            <w14:solidFill>
              <w14:schemeClr w14:val="tx1"/>
            </w14:solidFill>
          </w14:textFill>
        </w:rPr>
        <w:t>花都区</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教育局统一组织这部分毕业生进行电脑派位，确定录取资格；如符合直升条件且自愿报读本校初中的小学毕业生人数小于或等于本校初中招生计划，则由学校直接录取。</w:t>
      </w:r>
    </w:p>
    <w:p>
      <w:pPr>
        <w:keepNext w:val="0"/>
        <w:keepLines w:val="0"/>
        <w:pageBreakBefore w:val="0"/>
        <w:kinsoku/>
        <w:wordWrap/>
        <w:overflowPunct/>
        <w:topLinePunct w:val="0"/>
        <w:autoSpaceDE/>
        <w:autoSpaceDN/>
        <w:bidi w:val="0"/>
        <w:adjustRightInd/>
        <w:spacing w:line="540" w:lineRule="exact"/>
        <w:ind w:firstLine="640"/>
        <w:jc w:val="both"/>
        <w:textAlignment w:val="auto"/>
        <w:rPr>
          <w:rFonts w:hint="eastAsia" w:eastAsia="黑体"/>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u w:val="none"/>
          <w:lang w:val="en-US" w:eastAsia="zh-CN"/>
          <w14:textFill>
            <w14:solidFill>
              <w14:schemeClr w14:val="tx1"/>
            </w14:solidFill>
          </w14:textFill>
        </w:rPr>
        <w:t>（三）招生补录办法。</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经过第一轮报名后，还没有完成招生计划的民办中小学可在规定的补录时间进行补录。凡参加补录的适龄儿童、少年，其监护人需按要求向拟补录的学校提交报名资料，包括但不限于适龄儿童、少年身份证件复印件、《广东省居住证》（非穗籍学生监护人提供）、监护人关系证明证件（</w:t>
      </w:r>
      <w:bookmarkStart w:id="0" w:name="_GoBack"/>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户口</w:t>
      </w:r>
      <w:bookmarkEnd w:id="0"/>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簿或出生证明等）等。各辖区教育指导中心对补录名单及资料进行审核，符合条件的予以补录。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2024年</w:t>
      </w:r>
      <w:r>
        <w:rPr>
          <w:rFonts w:hint="eastAsia" w:ascii="黑体" w:hAnsi="黑体" w:eastAsia="黑体" w:cs="黑体"/>
          <w:color w:val="000000" w:themeColor="text1"/>
          <w:sz w:val="32"/>
          <w:szCs w:val="32"/>
          <w:highlight w:val="none"/>
          <w:lang w:eastAsia="zh-CN"/>
          <w14:textFill>
            <w14:solidFill>
              <w14:schemeClr w14:val="tx1"/>
            </w14:solidFill>
          </w14:textFill>
        </w:rPr>
        <w:t>招生报名流程</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（一）民办小学</w:t>
      </w:r>
    </w:p>
    <w:p>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集团化办学幼儿园直升小学预报名（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集团化办学幼儿园适龄儿童自愿直升集团内小学的，由集团内小学根据我区民办学校招生直升工作要求，做好预报名登记工作，并于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日前将名册及相关资料报送到属地教育指导中心，属地教育指导中心初审后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5月9日前</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提交至花都区教育局审核。花都区教育局审核后向学校反馈审核意见，符合条件的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幼儿</w:t>
      </w:r>
      <w:r>
        <w:rPr>
          <w:rFonts w:hint="eastAsia" w:ascii="仿宋_GB2312" w:hAnsi="仿宋_GB2312" w:eastAsia="仿宋_GB2312" w:cs="仿宋_GB2312"/>
          <w:color w:val="000000" w:themeColor="text1"/>
          <w:sz w:val="32"/>
          <w:szCs w:val="32"/>
          <w:highlight w:val="none"/>
          <w14:textFill>
            <w14:solidFill>
              <w14:schemeClr w14:val="tx1"/>
            </w14:solidFill>
          </w14:textFill>
        </w:rPr>
        <w:t>方可直升。如符合直升条件的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幼儿</w:t>
      </w:r>
      <w:r>
        <w:rPr>
          <w:rFonts w:hint="eastAsia" w:ascii="仿宋_GB2312" w:hAnsi="仿宋_GB2312" w:eastAsia="仿宋_GB2312" w:cs="仿宋_GB2312"/>
          <w:color w:val="000000" w:themeColor="text1"/>
          <w:sz w:val="32"/>
          <w:szCs w:val="32"/>
          <w:highlight w:val="none"/>
          <w14:textFill>
            <w14:solidFill>
              <w14:schemeClr w14:val="tx1"/>
            </w14:solidFill>
          </w14:textFill>
        </w:rPr>
        <w:t>人数大于集团内小学的招生计划数，由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花都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教育局组织电脑派位确定录取资格。集团化办学小学完成集团内直升招生工作后，还有剩余招生计划的，面向社会招生。</w:t>
      </w:r>
    </w:p>
    <w:p>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网上信息采集（5月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适龄儿童的父母或其他法定监护人在规定时间内登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广州市义务教育学校招生报名系统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”（下称“招生报名系统”）——“民办小学报名”，按要求填写学生相关信息，完成报名信息采集工作。集团化办学幼儿园升小学经审核符合直升条件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且确定录取资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的适龄儿童，</w:t>
      </w:r>
      <w:r>
        <w:rPr>
          <w:rFonts w:hint="eastAsia" w:ascii="仿宋_GB2312" w:hAnsi="仿宋_GB2312" w:eastAsia="仿宋_GB2312" w:cs="仿宋_GB2312"/>
          <w:color w:val="000000" w:themeColor="text1"/>
          <w:sz w:val="32"/>
          <w:szCs w:val="32"/>
          <w:highlight w:val="none"/>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同步</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完成信息采集工作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，否则视同放弃直升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pageBreakBefore w:val="0"/>
        <w:numPr>
          <w:ilvl w:val="-1"/>
          <w:numId w:val="0"/>
        </w:numPr>
        <w:kinsoku/>
        <w:wordWrap/>
        <w:overflowPunct/>
        <w:topLinePunct w:val="0"/>
        <w:autoSpaceDE/>
        <w:autoSpaceDN/>
        <w:bidi w:val="0"/>
        <w:adjustRightInd/>
        <w:snapToGrid w:val="0"/>
        <w:spacing w:before="0" w:after="0" w:line="540" w:lineRule="exact"/>
        <w:ind w:left="64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3.二次核验信息（5月20日—23日）。</w:t>
      </w:r>
    </w:p>
    <w:p>
      <w:pPr>
        <w:pStyle w:val="2"/>
        <w:pageBreakBefore w:val="0"/>
        <w:numPr>
          <w:ilvl w:val="-1"/>
          <w:numId w:val="0"/>
        </w:numPr>
        <w:kinsoku/>
        <w:wordWrap/>
        <w:overflowPunct/>
        <w:topLinePunct w:val="0"/>
        <w:autoSpaceDE/>
        <w:autoSpaceDN/>
        <w:bidi w:val="0"/>
        <w:adjustRightInd/>
        <w:snapToGrid w:val="0"/>
        <w:spacing w:before="0" w:after="0"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对于报名系统无法自动核验的报名信息，适龄儿童的实际居住地为花都区的，由花都区教育局进行二次核验，确认属地区生源结果。</w:t>
      </w:r>
    </w:p>
    <w:p>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填报志愿（</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-6月6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报名系统根据民办学校招生区域、学生有关信息（包括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适龄儿童的父母</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或其他法定监护人</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在报名时应充分了解民办学校办学条件、收费标准等情况。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集团化办学幼儿园升小学经审核符合直升条件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且确定录取资格的适龄儿童</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，不需再填报志愿，由学校直接录取。</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电脑派位和录取（6月1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报名人数小于或等于招生计划数的民办学校，实行直接录取。</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2</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报名人数大于招生计划的民办学校，实行电脑派位录取。根据我区派位规则，派位系统随机给报名的学生生成随机号，每生拥有一次派位录取机会。电脑派位当天，花都区教育局邀请</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人大代表、政协委员、公证</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人员</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、纪检人员、学校代表、家长代表</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媒体</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等到现场监督电脑派位过程。电脑派位结束后，花都区教育局通过花都区政府门户网站公布电脑派位结果，</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通知</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适龄儿童的父母或其他法定监护人。</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网上确认（6月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eastAsia="仿宋_GB2312"/>
          <w:snapToGrid w:val="0"/>
          <w:color w:val="000000" w:themeColor="text1"/>
          <w:sz w:val="32"/>
          <w:szCs w:val="32"/>
          <w:highlight w:val="none"/>
          <w14:textFill>
            <w14:solidFill>
              <w14:schemeClr w14:val="tx1"/>
            </w14:solidFill>
          </w14:textFill>
        </w:rPr>
        <w:t>适龄儿童父母或其他法定监护人在规定时间内在</w:t>
      </w:r>
      <w:r>
        <w:rPr>
          <w:rFonts w:hint="eastAsia" w:eastAsia="仿宋_GB2312"/>
          <w:snapToGrid w:val="0"/>
          <w:color w:val="000000" w:themeColor="text1"/>
          <w:sz w:val="32"/>
          <w:szCs w:val="32"/>
          <w:highlight w:val="none"/>
          <w:lang w:eastAsia="zh-CN"/>
          <w14:textFill>
            <w14:solidFill>
              <w14:schemeClr w14:val="tx1"/>
            </w14:solidFill>
          </w14:textFill>
        </w:rPr>
        <w:t>“</w:t>
      </w:r>
      <w:r>
        <w:rPr>
          <w:rFonts w:eastAsia="仿宋_GB2312"/>
          <w:snapToGrid w:val="0"/>
          <w:color w:val="000000" w:themeColor="text1"/>
          <w:sz w:val="32"/>
          <w:szCs w:val="32"/>
          <w:highlight w:val="none"/>
          <w14:textFill>
            <w14:solidFill>
              <w14:schemeClr w14:val="tx1"/>
            </w14:solidFill>
          </w14:textFill>
        </w:rPr>
        <w:t>广州市义务教育学校招生报名系统</w:t>
      </w:r>
      <w:r>
        <w:rPr>
          <w:rFonts w:hint="eastAsia" w:eastAsia="仿宋_GB2312"/>
          <w:snapToGrid w:val="0"/>
          <w:color w:val="000000" w:themeColor="text1"/>
          <w:sz w:val="32"/>
          <w:szCs w:val="32"/>
          <w:highlight w:val="none"/>
          <w:lang w:eastAsia="zh-CN"/>
          <w14:textFill>
            <w14:solidFill>
              <w14:schemeClr w14:val="tx1"/>
            </w14:solidFill>
          </w14:textFill>
        </w:rPr>
        <w:t>”</w:t>
      </w:r>
      <w:r>
        <w:rPr>
          <w:rFonts w:eastAsia="仿宋_GB2312"/>
          <w:snapToGrid w:val="0"/>
          <w:color w:val="000000" w:themeColor="text1"/>
          <w:sz w:val="32"/>
          <w:szCs w:val="32"/>
          <w:highlight w:val="none"/>
          <w14:textFill>
            <w14:solidFill>
              <w14:schemeClr w14:val="tx1"/>
            </w14:solidFill>
          </w14:textFill>
        </w:rPr>
        <w:t>进行录取确认</w:t>
      </w:r>
      <w:r>
        <w:rPr>
          <w:rFonts w:hint="eastAsia" w:eastAsia="仿宋_GB2312"/>
          <w:snapToGrid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新生注册（6月2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eastAsia="仿宋_GB2312"/>
          <w:snapToGrid w:val="0"/>
          <w:color w:val="000000" w:themeColor="text1"/>
          <w:sz w:val="32"/>
          <w:szCs w:val="32"/>
          <w:highlight w:val="none"/>
          <w14:textFill>
            <w14:solidFill>
              <w14:schemeClr w14:val="tx1"/>
            </w14:solidFill>
          </w14:textFill>
        </w:rPr>
        <w:t>已在报名系统进行录取确认以及</w:t>
      </w:r>
      <w:r>
        <w:rPr>
          <w:rFonts w:hint="eastAsia" w:eastAsia="仿宋_GB2312"/>
          <w:snapToGrid w:val="0"/>
          <w:color w:val="000000" w:themeColor="text1"/>
          <w:sz w:val="32"/>
          <w:szCs w:val="32"/>
          <w:highlight w:val="none"/>
          <w:lang w:eastAsia="zh-CN"/>
          <w14:textFill>
            <w14:solidFill>
              <w14:schemeClr w14:val="tx1"/>
            </w14:solidFill>
          </w14:textFill>
        </w:rPr>
        <w:t>经审核确定直升录取资格</w:t>
      </w:r>
      <w:r>
        <w:rPr>
          <w:rFonts w:hint="eastAsia" w:eastAsia="仿宋_GB2312"/>
          <w:snapToGrid w:val="0"/>
          <w:color w:val="000000" w:themeColor="text1"/>
          <w:sz w:val="32"/>
          <w:szCs w:val="32"/>
          <w:highlight w:val="none"/>
          <w14:textFill>
            <w14:solidFill>
              <w14:schemeClr w14:val="tx1"/>
            </w14:solidFill>
          </w14:textFill>
        </w:rPr>
        <w:t>的</w:t>
      </w:r>
      <w:r>
        <w:rPr>
          <w:rFonts w:hint="eastAsia" w:eastAsia="仿宋_GB2312"/>
          <w:snapToGrid w:val="0"/>
          <w:color w:val="000000" w:themeColor="text1"/>
          <w:sz w:val="32"/>
          <w:szCs w:val="32"/>
          <w:highlight w:val="none"/>
          <w:lang w:eastAsia="zh-CN"/>
          <w14:textFill>
            <w14:solidFill>
              <w14:schemeClr w14:val="tx1"/>
            </w14:solidFill>
          </w14:textFill>
        </w:rPr>
        <w:t>适龄儿童</w:t>
      </w:r>
      <w:r>
        <w:rPr>
          <w:rFonts w:hint="eastAsia" w:eastAsia="仿宋_GB2312"/>
          <w:snapToGrid w:val="0"/>
          <w:color w:val="000000" w:themeColor="text1"/>
          <w:sz w:val="32"/>
          <w:szCs w:val="32"/>
          <w:highlight w:val="none"/>
          <w14:textFill>
            <w14:solidFill>
              <w14:schemeClr w14:val="tx1"/>
            </w14:solidFill>
          </w14:textFill>
        </w:rPr>
        <w:t>，到拟录取学校进行注册。逾期未注册的学生，视为放弃录取资格。</w:t>
      </w:r>
      <w:r>
        <w:rPr>
          <w:rFonts w:eastAsia="仿宋_GB2312"/>
          <w:snapToGrid w:val="0"/>
          <w:color w:val="000000" w:themeColor="text1"/>
          <w:sz w:val="32"/>
          <w:szCs w:val="32"/>
          <w:highlight w:val="none"/>
          <w14:textFill>
            <w14:solidFill>
              <w14:schemeClr w14:val="tx1"/>
            </w14:solidFill>
          </w14:textFill>
        </w:rPr>
        <w:t>任何民办学校</w:t>
      </w:r>
      <w:r>
        <w:rPr>
          <w:rFonts w:hint="eastAsia" w:eastAsia="仿宋_GB2312"/>
          <w:snapToGrid w:val="0"/>
          <w:color w:val="000000" w:themeColor="text1"/>
          <w:sz w:val="32"/>
          <w:szCs w:val="32"/>
          <w:highlight w:val="none"/>
          <w14:textFill>
            <w14:solidFill>
              <w14:schemeClr w14:val="tx1"/>
            </w14:solidFill>
          </w14:textFill>
        </w:rPr>
        <w:t>均</w:t>
      </w:r>
      <w:r>
        <w:rPr>
          <w:rFonts w:eastAsia="仿宋_GB2312"/>
          <w:snapToGrid w:val="0"/>
          <w:color w:val="000000" w:themeColor="text1"/>
          <w:sz w:val="32"/>
          <w:szCs w:val="32"/>
          <w:highlight w:val="none"/>
          <w14:textFill>
            <w14:solidFill>
              <w14:schemeClr w14:val="tx1"/>
            </w14:solidFill>
          </w14:textFill>
        </w:rPr>
        <w:t>不得拒绝接收经电脑派位确定录取资格且在规定时间内报到注册的学生。</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补录（7月1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日；8月2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还未完成招生计划的民办小学，可在规定时间进行补录。第一次补录时间为7月17日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21日，第二次补录时间为8月2</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2</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日，适龄儿童的父母或其他法定监护人可自行到还有剩余招生计划的民办小学报名</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并提交资料</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经审核后符合招生条件的予以补录</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民办初中</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九年制学校、集团化办学小学直升初中招生录取工作（5月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九年制学校、集团化办学初中学校组织本校或集团内小学部自愿报读本校或集团内初中的小学毕业生，开展直升预报名登记工作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于5月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日前将名册及相关资料报送到属地教育指导中心，属地教育指导中心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5月14日</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提交至花都区教育局审核，经审核符合条件的方可直升。</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如符合直升条件且自愿选择直升的小学毕业生小于或等于本校初中或集团内初中招生计划，由学校直接录取；如符合直升条件且自愿选择直升的小学毕业生人数大于初中招生计划，由花都区教育局于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highlight w:val="none"/>
          <w14:textFill>
            <w14:solidFill>
              <w14:schemeClr w14:val="tx1"/>
            </w14:solidFill>
          </w14:textFill>
        </w:rPr>
        <w:t>日统一组织电脑派位，小学毕业生的父母或其他法定监护人对派位资格进行确认。</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九年制学校、集团化办学初中完成本校或集团内直升招生工作后，还有剩余招生计划的，面向社会招生。</w:t>
      </w:r>
    </w:p>
    <w:p>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非直升小学毕业生初中报名及录取。</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网上信息采集（5月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适龄</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儿童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、少年</w:t>
      </w:r>
      <w:r>
        <w:rPr>
          <w:rFonts w:hint="eastAsia" w:ascii="仿宋_GB2312" w:hAnsi="仿宋_GB2312" w:eastAsia="仿宋_GB2312" w:cs="仿宋_GB2312"/>
          <w:color w:val="000000" w:themeColor="text1"/>
          <w:sz w:val="32"/>
          <w:szCs w:val="32"/>
          <w:highlight w:val="none"/>
          <w14:textFill>
            <w14:solidFill>
              <w14:schemeClr w14:val="tx1"/>
            </w14:solidFill>
          </w14:textFill>
        </w:rPr>
        <w:t>的父母或其他法定监护人在规定时间内登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录</w:t>
      </w:r>
      <w:r>
        <w:rPr>
          <w:rFonts w:hint="eastAsia" w:ascii="仿宋_GB2312" w:hAnsi="仿宋_GB2312" w:eastAsia="仿宋_GB2312" w:cs="仿宋_GB2312"/>
          <w:color w:val="000000" w:themeColor="text1"/>
          <w:sz w:val="32"/>
          <w:szCs w:val="32"/>
          <w:highlight w:val="none"/>
          <w14:textFill>
            <w14:solidFill>
              <w14:schemeClr w14:val="tx1"/>
            </w14:solidFill>
          </w14:textFill>
        </w:rPr>
        <w:t>广州市招生报名系统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“民办初中报名”，按要求填写学生相关信息，完成报名信息采集工作。经花都区教育局审核符合直升条件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且确定录取资格的小学毕业生</w:t>
      </w:r>
      <w:r>
        <w:rPr>
          <w:rFonts w:hint="eastAsia" w:ascii="仿宋_GB2312" w:hAnsi="仿宋_GB2312" w:eastAsia="仿宋_GB2312" w:cs="仿宋_GB2312"/>
          <w:color w:val="000000" w:themeColor="text1"/>
          <w:sz w:val="32"/>
          <w:szCs w:val="32"/>
          <w:highlight w:val="none"/>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同步</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完成信息采集工作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，否则视同放弃直升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pageBreakBefore w:val="0"/>
        <w:numPr>
          <w:ilvl w:val="-1"/>
          <w:numId w:val="0"/>
        </w:numPr>
        <w:kinsoku/>
        <w:wordWrap/>
        <w:overflowPunct/>
        <w:topLinePunct w:val="0"/>
        <w:autoSpaceDE/>
        <w:autoSpaceDN/>
        <w:bidi w:val="0"/>
        <w:adjustRightInd/>
        <w:snapToGrid w:val="0"/>
        <w:spacing w:before="0" w:after="0" w:line="540" w:lineRule="exact"/>
        <w:ind w:left="64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（2）二次核验信息（6月6日—7日）。</w:t>
      </w:r>
    </w:p>
    <w:p>
      <w:pPr>
        <w:pStyle w:val="2"/>
        <w:pageBreakBefore w:val="0"/>
        <w:numPr>
          <w:ilvl w:val="-1"/>
          <w:numId w:val="0"/>
        </w:numPr>
        <w:kinsoku/>
        <w:wordWrap/>
        <w:overflowPunct/>
        <w:topLinePunct w:val="0"/>
        <w:autoSpaceDE/>
        <w:autoSpaceDN/>
        <w:bidi w:val="0"/>
        <w:adjustRightInd/>
        <w:snapToGrid w:val="0"/>
        <w:spacing w:before="0" w:after="0" w:line="540" w:lineRule="exact"/>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对于报名系统无法自动核验的报名信息，适龄少年的实际居住地为花都区的，由花都区教育局进行二次核验，确认属地区生源结果。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填报志愿（6月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报名系统根据民办学校招生区域、学生有关信息（包括学籍、户籍地址、居住证地址等信息）自动匹配符合条件的区和学校，供适龄儿童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、少年</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的父母或其他法定监护人选择报名。适龄儿童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、少年</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的父母或其他法定监护人应选定其中一个区填报志愿，从本区学校和有跨区招生计划的非本区学校中，选择填报1至2个平行志愿。适龄儿童</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、少年</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的父母或其他法定监护人在报名时应充分了解民办学校办学条件、收费标准等情况。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经花都区教育局审核符合直升条件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且确定录取资格</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的小学毕业生</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不需再填报志愿，由学校直接录取。</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电脑派位和录取（6月2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Wingdings" w:hAnsi="Wingdings" w:eastAsia="Wingdings" w:cs="Wingding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报名人数小于或等于招生计划（或九年制学校、集团化办学初中剩余招生计划）的民办学校，实行直接录取。</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Wingdings" w:hAnsi="Wingdings" w:eastAsia="Wingdings" w:cs="Wingding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名人数大于招生计划（或九年制学校、集团化办学初中剩余招生计划）的民办学校，实行电脑派位录取。根据我区派位规则，派位系统随机给报名的学生生成随机号，每生拥有一次派位录取机会。电脑派位当天，</w:t>
      </w:r>
      <w:r>
        <w:rPr>
          <w:rFonts w:hint="eastAsia" w:eastAsia="仿宋_GB2312"/>
          <w:snapToGrid w:val="0"/>
          <w:color w:val="000000" w:themeColor="text1"/>
          <w:sz w:val="32"/>
          <w:szCs w:val="32"/>
          <w:highlight w:val="none"/>
          <w14:textFill>
            <w14:solidFill>
              <w14:schemeClr w14:val="tx1"/>
            </w14:solidFill>
          </w14:textFill>
        </w:rPr>
        <w:t>花都区教育局邀请</w:t>
      </w:r>
      <w:r>
        <w:rPr>
          <w:rFonts w:hint="eastAsia" w:eastAsia="仿宋_GB2312"/>
          <w:snapToGrid w:val="0"/>
          <w:color w:val="000000" w:themeColor="text1"/>
          <w:sz w:val="32"/>
          <w:szCs w:val="32"/>
          <w:highlight w:val="none"/>
          <w:lang w:eastAsia="zh-CN"/>
          <w14:textFill>
            <w14:solidFill>
              <w14:schemeClr w14:val="tx1"/>
            </w14:solidFill>
          </w14:textFill>
        </w:rPr>
        <w:t>区</w:t>
      </w:r>
      <w:r>
        <w:rPr>
          <w:rFonts w:eastAsia="仿宋_GB2312"/>
          <w:snapToGrid w:val="0"/>
          <w:color w:val="000000" w:themeColor="text1"/>
          <w:sz w:val="32"/>
          <w:szCs w:val="32"/>
          <w:highlight w:val="none"/>
          <w14:textFill>
            <w14:solidFill>
              <w14:schemeClr w14:val="tx1"/>
            </w14:solidFill>
          </w14:textFill>
        </w:rPr>
        <w:t>人大代表、政协委员、</w:t>
      </w:r>
      <w:r>
        <w:rPr>
          <w:rFonts w:hint="eastAsia" w:eastAsia="仿宋_GB2312"/>
          <w:snapToGrid w:val="0"/>
          <w:color w:val="000000" w:themeColor="text1"/>
          <w:sz w:val="32"/>
          <w:szCs w:val="32"/>
          <w:highlight w:val="none"/>
          <w14:textFill>
            <w14:solidFill>
              <w14:schemeClr w14:val="tx1"/>
            </w14:solidFill>
          </w14:textFill>
        </w:rPr>
        <w:t>公证</w:t>
      </w:r>
      <w:r>
        <w:rPr>
          <w:rFonts w:hint="eastAsia" w:eastAsia="仿宋_GB2312"/>
          <w:snapToGrid w:val="0"/>
          <w:color w:val="000000" w:themeColor="text1"/>
          <w:sz w:val="32"/>
          <w:szCs w:val="32"/>
          <w:highlight w:val="none"/>
          <w:lang w:eastAsia="zh-CN"/>
          <w14:textFill>
            <w14:solidFill>
              <w14:schemeClr w14:val="tx1"/>
            </w14:solidFill>
          </w14:textFill>
        </w:rPr>
        <w:t>人员</w:t>
      </w:r>
      <w:r>
        <w:rPr>
          <w:rFonts w:hint="eastAsia" w:eastAsia="仿宋_GB2312"/>
          <w:snapToGrid w:val="0"/>
          <w:color w:val="000000" w:themeColor="text1"/>
          <w:sz w:val="32"/>
          <w:szCs w:val="32"/>
          <w:highlight w:val="none"/>
          <w14:textFill>
            <w14:solidFill>
              <w14:schemeClr w14:val="tx1"/>
            </w14:solidFill>
          </w14:textFill>
        </w:rPr>
        <w:t>、</w:t>
      </w:r>
      <w:r>
        <w:rPr>
          <w:rFonts w:eastAsia="仿宋_GB2312"/>
          <w:snapToGrid w:val="0"/>
          <w:color w:val="000000" w:themeColor="text1"/>
          <w:sz w:val="32"/>
          <w:szCs w:val="32"/>
          <w:highlight w:val="none"/>
          <w14:textFill>
            <w14:solidFill>
              <w14:schemeClr w14:val="tx1"/>
            </w14:solidFill>
          </w14:textFill>
        </w:rPr>
        <w:t>纪检人员</w:t>
      </w:r>
      <w:r>
        <w:rPr>
          <w:rFonts w:hint="eastAsia" w:eastAsia="仿宋_GB2312"/>
          <w:snapToGrid w:val="0"/>
          <w:color w:val="000000" w:themeColor="text1"/>
          <w:sz w:val="32"/>
          <w:szCs w:val="32"/>
          <w:highlight w:val="none"/>
          <w14:textFill>
            <w14:solidFill>
              <w14:schemeClr w14:val="tx1"/>
            </w14:solidFill>
          </w14:textFill>
        </w:rPr>
        <w:t>、学校代表、家长代表</w:t>
      </w:r>
      <w:r>
        <w:rPr>
          <w:rFonts w:hint="eastAsia" w:eastAsia="仿宋_GB2312"/>
          <w:snapToGrid w:val="0"/>
          <w:color w:val="000000" w:themeColor="text1"/>
          <w:sz w:val="32"/>
          <w:szCs w:val="32"/>
          <w:highlight w:val="none"/>
          <w:lang w:eastAsia="zh-CN"/>
          <w14:textFill>
            <w14:solidFill>
              <w14:schemeClr w14:val="tx1"/>
            </w14:solidFill>
          </w14:textFill>
        </w:rPr>
        <w:t>、</w:t>
      </w:r>
      <w:r>
        <w:rPr>
          <w:rFonts w:hint="eastAsia" w:eastAsia="仿宋_GB2312"/>
          <w:snapToGrid w:val="0"/>
          <w:color w:val="000000" w:themeColor="text1"/>
          <w:sz w:val="32"/>
          <w:szCs w:val="32"/>
          <w:highlight w:val="none"/>
          <w:lang w:val="en-US" w:eastAsia="zh-CN"/>
          <w14:textFill>
            <w14:solidFill>
              <w14:schemeClr w14:val="tx1"/>
            </w14:solidFill>
          </w14:textFill>
        </w:rPr>
        <w:t>媒体</w:t>
      </w:r>
      <w:r>
        <w:rPr>
          <w:rFonts w:hint="eastAsia" w:eastAsia="仿宋_GB2312"/>
          <w:snapToGrid w:val="0"/>
          <w:color w:val="000000" w:themeColor="text1"/>
          <w:sz w:val="32"/>
          <w:szCs w:val="32"/>
          <w:highlight w:val="none"/>
          <w14:textFill>
            <w14:solidFill>
              <w14:schemeClr w14:val="tx1"/>
            </w14:solidFill>
          </w14:textFill>
        </w:rPr>
        <w:t>等到现场监督电脑派位过程。</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电脑派位结束后，花都区教育局通过花都区政府门户网站公布电脑派位结果，</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通知</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适龄儿童的父母或其他法定监护人。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网上确认（</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-7月2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snapToGrid w:val="0"/>
          <w:color w:val="000000" w:themeColor="text1"/>
          <w:sz w:val="32"/>
          <w:szCs w:val="32"/>
          <w:highlight w:val="none"/>
          <w14:textFill>
            <w14:solidFill>
              <w14:schemeClr w14:val="tx1"/>
            </w14:solidFill>
          </w14:textFill>
        </w:rPr>
        <w:t>适龄儿童</w:t>
      </w:r>
      <w:r>
        <w:rPr>
          <w:rFonts w:hint="eastAsia" w:eastAsia="仿宋_GB2312"/>
          <w:snapToGrid w:val="0"/>
          <w:color w:val="000000" w:themeColor="text1"/>
          <w:sz w:val="32"/>
          <w:szCs w:val="32"/>
          <w:highlight w:val="none"/>
          <w:lang w:eastAsia="zh-CN"/>
          <w14:textFill>
            <w14:solidFill>
              <w14:schemeClr w14:val="tx1"/>
            </w14:solidFill>
          </w14:textFill>
        </w:rPr>
        <w:t>、少年</w:t>
      </w:r>
      <w:r>
        <w:rPr>
          <w:rFonts w:eastAsia="仿宋_GB2312"/>
          <w:snapToGrid w:val="0"/>
          <w:color w:val="000000" w:themeColor="text1"/>
          <w:sz w:val="32"/>
          <w:szCs w:val="32"/>
          <w:highlight w:val="none"/>
          <w14:textFill>
            <w14:solidFill>
              <w14:schemeClr w14:val="tx1"/>
            </w14:solidFill>
          </w14:textFill>
        </w:rPr>
        <w:t>父母或其他法定监护人在规定时间内在</w:t>
      </w:r>
      <w:r>
        <w:rPr>
          <w:rFonts w:hint="eastAsia" w:eastAsia="仿宋_GB2312"/>
          <w:snapToGrid w:val="0"/>
          <w:color w:val="000000" w:themeColor="text1"/>
          <w:sz w:val="32"/>
          <w:szCs w:val="32"/>
          <w:highlight w:val="none"/>
          <w:lang w:eastAsia="zh-CN"/>
          <w14:textFill>
            <w14:solidFill>
              <w14:schemeClr w14:val="tx1"/>
            </w14:solidFill>
          </w14:textFill>
        </w:rPr>
        <w:t>“</w:t>
      </w:r>
      <w:r>
        <w:rPr>
          <w:rFonts w:eastAsia="仿宋_GB2312"/>
          <w:snapToGrid w:val="0"/>
          <w:color w:val="000000" w:themeColor="text1"/>
          <w:sz w:val="32"/>
          <w:szCs w:val="32"/>
          <w:highlight w:val="none"/>
          <w14:textFill>
            <w14:solidFill>
              <w14:schemeClr w14:val="tx1"/>
            </w14:solidFill>
          </w14:textFill>
        </w:rPr>
        <w:t>广州市义务教育学校招生报名系统</w:t>
      </w:r>
      <w:r>
        <w:rPr>
          <w:rFonts w:hint="eastAsia" w:eastAsia="仿宋_GB2312"/>
          <w:snapToGrid w:val="0"/>
          <w:color w:val="000000" w:themeColor="text1"/>
          <w:sz w:val="32"/>
          <w:szCs w:val="32"/>
          <w:highlight w:val="none"/>
          <w:lang w:eastAsia="zh-CN"/>
          <w14:textFill>
            <w14:solidFill>
              <w14:schemeClr w14:val="tx1"/>
            </w14:solidFill>
          </w14:textFill>
        </w:rPr>
        <w:t>”</w:t>
      </w:r>
      <w:r>
        <w:rPr>
          <w:rFonts w:eastAsia="仿宋_GB2312"/>
          <w:snapToGrid w:val="0"/>
          <w:color w:val="000000" w:themeColor="text1"/>
          <w:sz w:val="32"/>
          <w:szCs w:val="32"/>
          <w:highlight w:val="none"/>
          <w14:textFill>
            <w14:solidFill>
              <w14:schemeClr w14:val="tx1"/>
            </w14:solidFill>
          </w14:textFill>
        </w:rPr>
        <w:t>进行录取确认</w:t>
      </w:r>
      <w:r>
        <w:rPr>
          <w:rFonts w:hint="eastAsia" w:eastAsia="仿宋_GB2312"/>
          <w:snapToGrid w:val="0"/>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新生注册（7月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eastAsia="仿宋_GB2312"/>
          <w:snapToGrid w:val="0"/>
          <w:color w:val="000000" w:themeColor="text1"/>
          <w:sz w:val="32"/>
          <w:szCs w:val="32"/>
          <w:highlight w:val="none"/>
          <w14:textFill>
            <w14:solidFill>
              <w14:schemeClr w14:val="tx1"/>
            </w14:solidFill>
          </w14:textFill>
        </w:rPr>
        <w:t>已在报名系统进行录取确认以及</w:t>
      </w:r>
      <w:r>
        <w:rPr>
          <w:rFonts w:hint="eastAsia" w:eastAsia="仿宋_GB2312"/>
          <w:snapToGrid w:val="0"/>
          <w:color w:val="000000" w:themeColor="text1"/>
          <w:sz w:val="32"/>
          <w:szCs w:val="32"/>
          <w:highlight w:val="none"/>
          <w:lang w:eastAsia="zh-CN"/>
          <w14:textFill>
            <w14:solidFill>
              <w14:schemeClr w14:val="tx1"/>
            </w14:solidFill>
          </w14:textFill>
        </w:rPr>
        <w:t>经审核确定直升录取资格</w:t>
      </w:r>
      <w:r>
        <w:rPr>
          <w:rFonts w:hint="eastAsia" w:eastAsia="仿宋_GB2312"/>
          <w:snapToGrid w:val="0"/>
          <w:color w:val="000000" w:themeColor="text1"/>
          <w:sz w:val="32"/>
          <w:szCs w:val="32"/>
          <w:highlight w:val="none"/>
          <w14:textFill>
            <w14:solidFill>
              <w14:schemeClr w14:val="tx1"/>
            </w14:solidFill>
          </w14:textFill>
        </w:rPr>
        <w:t>的</w:t>
      </w:r>
      <w:r>
        <w:rPr>
          <w:rFonts w:hint="eastAsia" w:eastAsia="仿宋_GB2312"/>
          <w:snapToGrid w:val="0"/>
          <w:color w:val="000000" w:themeColor="text1"/>
          <w:sz w:val="32"/>
          <w:szCs w:val="32"/>
          <w:highlight w:val="none"/>
          <w:lang w:eastAsia="zh-CN"/>
          <w14:textFill>
            <w14:solidFill>
              <w14:schemeClr w14:val="tx1"/>
            </w14:solidFill>
          </w14:textFill>
        </w:rPr>
        <w:t>适龄儿童、少年，</w:t>
      </w:r>
      <w:r>
        <w:rPr>
          <w:rFonts w:hint="eastAsia" w:ascii="仿宋_GB2312" w:hAnsi="仿宋_GB2312" w:eastAsia="仿宋_GB2312" w:cs="仿宋_GB2312"/>
          <w:color w:val="000000" w:themeColor="text1"/>
          <w:sz w:val="32"/>
          <w:szCs w:val="32"/>
          <w:highlight w:val="none"/>
          <w14:textFill>
            <w14:solidFill>
              <w14:schemeClr w14:val="tx1"/>
            </w14:solidFill>
          </w14:textFill>
        </w:rPr>
        <w:t>到拟录取学校进行注册。逾期未注册的学生，视为放弃录取资格。任何民办学校不得拒绝接收经电脑派位确定录取资格且在规定时间内报到注册的学生。</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补录（7月1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日；8月23日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28日）。</w:t>
      </w:r>
    </w:p>
    <w:p>
      <w:pPr>
        <w:pageBreakBefore w:val="0"/>
        <w:kinsoku/>
        <w:wordWrap/>
        <w:overflowPunct/>
        <w:topLinePunct w:val="0"/>
        <w:autoSpaceDE/>
        <w:autoSpaceDN/>
        <w:bidi w:val="0"/>
        <w:adjustRightInd/>
        <w:spacing w:line="540" w:lineRule="exact"/>
        <w:ind w:firstLine="640" w:firstLineChars="200"/>
        <w:textAlignment w:val="auto"/>
        <w:rPr>
          <w:rFonts w:hint="eastAsia" w:eastAsia="仿宋_GB2312"/>
          <w:snapToGrid w:val="0"/>
          <w:color w:val="000000" w:themeColor="text1"/>
          <w:sz w:val="32"/>
          <w:szCs w:val="32"/>
          <w:highlight w:val="none"/>
          <w:lang w:eastAsia="zh-CN"/>
          <w14:textFill>
            <w14:solidFill>
              <w14:schemeClr w14:val="tx1"/>
            </w14:solidFill>
          </w14:textFill>
        </w:rPr>
        <w:sectPr>
          <w:pgSz w:w="11906" w:h="16838"/>
          <w:pgMar w:top="1587" w:right="1417" w:bottom="158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000000" w:themeColor="text1"/>
          <w:sz w:val="32"/>
          <w:szCs w:val="32"/>
          <w:highlight w:val="none"/>
          <w14:textFill>
            <w14:solidFill>
              <w14:schemeClr w14:val="tx1"/>
            </w14:solidFill>
          </w14:textFill>
        </w:rPr>
        <w:t>还未完成招生计划的民办初中，可在规定时间进行补录。第一次补录时间为7月17日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21日，第二次补录时间为8月23日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28日，</w:t>
      </w:r>
      <w:r>
        <w:rPr>
          <w:rFonts w:hint="eastAsia" w:eastAsia="仿宋_GB2312"/>
          <w:snapToGrid w:val="0"/>
          <w:color w:val="000000" w:themeColor="text1"/>
          <w:sz w:val="32"/>
          <w:szCs w:val="32"/>
          <w:highlight w:val="none"/>
          <w14:textFill>
            <w14:solidFill>
              <w14:schemeClr w14:val="tx1"/>
            </w14:solidFill>
          </w14:textFill>
        </w:rPr>
        <w:t>适龄</w:t>
      </w:r>
      <w:r>
        <w:rPr>
          <w:rFonts w:hint="eastAsia" w:eastAsia="仿宋_GB2312"/>
          <w:snapToGrid w:val="0"/>
          <w:color w:val="000000" w:themeColor="text1"/>
          <w:sz w:val="32"/>
          <w:szCs w:val="32"/>
          <w:highlight w:val="none"/>
          <w:lang w:eastAsia="zh-CN"/>
          <w14:textFill>
            <w14:solidFill>
              <w14:schemeClr w14:val="tx1"/>
            </w14:solidFill>
          </w14:textFill>
        </w:rPr>
        <w:t>儿童、少年</w:t>
      </w:r>
      <w:r>
        <w:rPr>
          <w:rFonts w:hint="eastAsia" w:eastAsia="仿宋_GB2312"/>
          <w:snapToGrid w:val="0"/>
          <w:color w:val="000000" w:themeColor="text1"/>
          <w:sz w:val="32"/>
          <w:szCs w:val="32"/>
          <w:highlight w:val="none"/>
          <w14:textFill>
            <w14:solidFill>
              <w14:schemeClr w14:val="tx1"/>
            </w14:solidFill>
          </w14:textFill>
        </w:rPr>
        <w:t>的父母或其他法定监护人可自行到还有剩余招生计划的民办</w:t>
      </w:r>
      <w:r>
        <w:rPr>
          <w:rFonts w:hint="eastAsia" w:eastAsia="仿宋_GB2312"/>
          <w:snapToGrid w:val="0"/>
          <w:color w:val="000000" w:themeColor="text1"/>
          <w:sz w:val="32"/>
          <w:szCs w:val="32"/>
          <w:highlight w:val="none"/>
          <w:lang w:eastAsia="zh-CN"/>
          <w14:textFill>
            <w14:solidFill>
              <w14:schemeClr w14:val="tx1"/>
            </w14:solidFill>
          </w14:textFill>
        </w:rPr>
        <w:t>初中</w:t>
      </w:r>
      <w:r>
        <w:rPr>
          <w:rFonts w:hint="eastAsia" w:eastAsia="仿宋_GB2312"/>
          <w:snapToGrid w:val="0"/>
          <w:color w:val="000000" w:themeColor="text1"/>
          <w:sz w:val="32"/>
          <w:szCs w:val="32"/>
          <w:highlight w:val="none"/>
          <w14:textFill>
            <w14:solidFill>
              <w14:schemeClr w14:val="tx1"/>
            </w14:solidFill>
          </w14:textFill>
        </w:rPr>
        <w:t>报名</w:t>
      </w:r>
      <w:r>
        <w:rPr>
          <w:rFonts w:hint="eastAsia" w:eastAsia="仿宋_GB2312"/>
          <w:snapToGrid w:val="0"/>
          <w:color w:val="000000" w:themeColor="text1"/>
          <w:sz w:val="32"/>
          <w:szCs w:val="32"/>
          <w:highlight w:val="none"/>
          <w:lang w:eastAsia="zh-CN"/>
          <w14:textFill>
            <w14:solidFill>
              <w14:schemeClr w14:val="tx1"/>
            </w14:solidFill>
          </w14:textFill>
        </w:rPr>
        <w:t>并提交资料</w:t>
      </w:r>
      <w:r>
        <w:rPr>
          <w:rFonts w:hint="eastAsia" w:eastAsia="仿宋_GB2312"/>
          <w:snapToGrid w:val="0"/>
          <w:color w:val="000000" w:themeColor="text1"/>
          <w:sz w:val="32"/>
          <w:szCs w:val="32"/>
          <w:highlight w:val="none"/>
          <w14:textFill>
            <w14:solidFill>
              <w14:schemeClr w14:val="tx1"/>
            </w14:solidFill>
          </w14:textFill>
        </w:rPr>
        <w:t>，</w:t>
      </w:r>
      <w:r>
        <w:rPr>
          <w:rFonts w:hint="eastAsia" w:eastAsia="仿宋_GB2312"/>
          <w:snapToGrid w:val="0"/>
          <w:color w:val="000000" w:themeColor="text1"/>
          <w:sz w:val="32"/>
          <w:szCs w:val="32"/>
          <w:highlight w:val="none"/>
          <w:lang w:eastAsia="zh-CN"/>
          <w14:textFill>
            <w14:solidFill>
              <w14:schemeClr w14:val="tx1"/>
            </w14:solidFill>
          </w14:textFill>
        </w:rPr>
        <w:t>经审核后符合招生条件的予以补录。</w:t>
      </w:r>
    </w:p>
    <w:p>
      <w:pPr>
        <w:rPr>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58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37973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379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rect id="文本框 1" o:spid="_x0000_s1026" o:spt="1" style="position:absolute;left:0pt;margin-top:0pt;height:29.9pt;width:144pt;mso-position-horizontal:outside;mso-position-horizontal-relative:margin;mso-wrap-style:none;z-index:251659264;mso-width-relative:page;mso-height-relative:page;" filled="f" stroked="f" coordsize="21600,21600" o:gfxdata="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EHb2PUAAAABAEAAA8AAAAAAAAAAQAgAAAAIgAAAGRycy9kb3ducmV2&#10;LnhtbFBLAQIUABQAAAAIAIdO4kC0rY3aOQIAAGQEAAAOAAAAAAAAAAEAIAAAACMBAABkcnMvZTJv&#10;RG9jLnhtbFBLBQYAAAAABgAGAFkBAADOBQAAAAA=&#10;">
              <v:fill on="f" focussize="0,0"/>
              <v:stroke on="f" weight="0.5pt"/>
              <v:imagedata o:title=""/>
              <o:lock v:ext="edit" aspectratio="f"/>
              <v:textbox inset="0mm,0mm,0mm,0mm">
                <w:txbxContent>
                  <w:p>
                    <w:pPr>
                      <w:pStyle w:val="1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181"/>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compressPunctuation"/>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MyMjQyMDUwNWQ0M2EyZjgwZmQ2MDVlNjZkZGIifQ=="/>
  </w:docVars>
  <w:rsids>
    <w:rsidRoot w:val="00000000"/>
    <w:rsid w:val="10273536"/>
    <w:rsid w:val="21337101"/>
    <w:rsid w:val="2B5A4A6A"/>
    <w:rsid w:val="2F1963C1"/>
    <w:rsid w:val="4CA7237D"/>
    <w:rsid w:val="57AD6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360" w:lineRule="auto"/>
      <w:ind w:left="0" w:right="0" w:firstLine="200" w:firstLineChars="200"/>
      <w:jc w:val="both"/>
    </w:pPr>
    <w:rPr>
      <w:rFonts w:hint="default" w:ascii="Times New Roman" w:hAnsi="Times New Roman" w:eastAsia="宋体" w:cs="Times New Roman"/>
      <w:color w:val="auto"/>
      <w:spacing w:val="0"/>
      <w:position w:val="0"/>
      <w:sz w:val="21"/>
      <w:szCs w:val="24"/>
      <w:lang w:val="en-US" w:eastAsia="zh-CN" w:bidi="ar-SA"/>
    </w:rPr>
  </w:style>
  <w:style w:type="paragraph" w:styleId="3">
    <w:name w:val="heading 1"/>
    <w:basedOn w:val="1"/>
    <w:next w:val="1"/>
    <w:link w:val="34"/>
    <w:autoRedefine/>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link w:val="35"/>
    <w:autoRedefine/>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autoRedefine/>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autoRedefine/>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autoRedefine/>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autoRedefine/>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autoRedefine/>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autoRedefine/>
    <w:unhideWhenUsed/>
    <w:qFormat/>
    <w:uiPriority w:val="39"/>
    <w:pPr>
      <w:spacing w:after="57"/>
      <w:ind w:left="1134" w:right="0" w:firstLine="0"/>
    </w:pPr>
  </w:style>
  <w:style w:type="paragraph" w:styleId="14">
    <w:name w:val="toc 3"/>
    <w:basedOn w:val="1"/>
    <w:next w:val="1"/>
    <w:autoRedefine/>
    <w:unhideWhenUsed/>
    <w:qFormat/>
    <w:uiPriority w:val="39"/>
    <w:pPr>
      <w:spacing w:after="57"/>
      <w:ind w:left="567" w:right="0" w:firstLine="0"/>
    </w:pPr>
  </w:style>
  <w:style w:type="paragraph" w:styleId="15">
    <w:name w:val="toc 8"/>
    <w:basedOn w:val="1"/>
    <w:next w:val="1"/>
    <w:autoRedefine/>
    <w:unhideWhenUsed/>
    <w:qFormat/>
    <w:uiPriority w:val="39"/>
    <w:pPr>
      <w:spacing w:after="57"/>
      <w:ind w:left="1984" w:right="0" w:firstLine="0"/>
    </w:pPr>
  </w:style>
  <w:style w:type="paragraph" w:styleId="16">
    <w:name w:val="Date"/>
    <w:basedOn w:val="1"/>
    <w:next w:val="1"/>
    <w:link w:val="184"/>
    <w:autoRedefine/>
    <w:unhideWhenUsed/>
    <w:qFormat/>
    <w:uiPriority w:val="99"/>
    <w:pPr>
      <w:ind w:left="100" w:leftChars="2500"/>
    </w:pPr>
  </w:style>
  <w:style w:type="paragraph" w:styleId="17">
    <w:name w:val="Balloon Text"/>
    <w:basedOn w:val="1"/>
    <w:link w:val="185"/>
    <w:autoRedefine/>
    <w:unhideWhenUsed/>
    <w:qFormat/>
    <w:uiPriority w:val="99"/>
    <w:pPr>
      <w:spacing w:line="240" w:lineRule="auto"/>
    </w:pPr>
    <w:rPr>
      <w:sz w:val="18"/>
      <w:szCs w:val="18"/>
    </w:rPr>
  </w:style>
  <w:style w:type="paragraph" w:styleId="18">
    <w:name w:val="footer"/>
    <w:basedOn w:val="1"/>
    <w:link w:val="183"/>
    <w:autoRedefine/>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18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57"/>
      <w:ind w:left="0" w:right="0" w:firstLine="0"/>
    </w:pPr>
  </w:style>
  <w:style w:type="paragraph" w:styleId="21">
    <w:name w:val="toc 4"/>
    <w:basedOn w:val="1"/>
    <w:next w:val="1"/>
    <w:autoRedefine/>
    <w:unhideWhenUsed/>
    <w:qFormat/>
    <w:uiPriority w:val="39"/>
    <w:pPr>
      <w:spacing w:after="57"/>
      <w:ind w:left="850" w:right="0" w:firstLine="0"/>
    </w:pPr>
  </w:style>
  <w:style w:type="paragraph" w:styleId="22">
    <w:name w:val="Subtitle"/>
    <w:basedOn w:val="1"/>
    <w:next w:val="1"/>
    <w:link w:val="46"/>
    <w:autoRedefine/>
    <w:qFormat/>
    <w:uiPriority w:val="11"/>
    <w:pPr>
      <w:spacing w:before="200" w:after="200"/>
    </w:pPr>
    <w:rPr>
      <w:sz w:val="24"/>
      <w:szCs w:val="24"/>
    </w:rPr>
  </w:style>
  <w:style w:type="paragraph" w:styleId="23">
    <w:name w:val="footnote text"/>
    <w:basedOn w:val="1"/>
    <w:link w:val="179"/>
    <w:autoRedefine/>
    <w:semiHidden/>
    <w:unhideWhenUsed/>
    <w:qFormat/>
    <w:uiPriority w:val="99"/>
    <w:pPr>
      <w:spacing w:after="40" w:line="240" w:lineRule="auto"/>
    </w:pPr>
    <w:rPr>
      <w:sz w:val="18"/>
    </w:rPr>
  </w:style>
  <w:style w:type="paragraph" w:styleId="24">
    <w:name w:val="toc 6"/>
    <w:basedOn w:val="1"/>
    <w:next w:val="1"/>
    <w:autoRedefine/>
    <w:unhideWhenUsed/>
    <w:qFormat/>
    <w:uiPriority w:val="39"/>
    <w:pPr>
      <w:spacing w:after="57"/>
      <w:ind w:left="1417" w:right="0" w:firstLine="0"/>
    </w:pPr>
  </w:style>
  <w:style w:type="paragraph" w:styleId="25">
    <w:name w:val="toc 2"/>
    <w:basedOn w:val="1"/>
    <w:next w:val="1"/>
    <w:autoRedefine/>
    <w:unhideWhenUsed/>
    <w:qFormat/>
    <w:uiPriority w:val="39"/>
    <w:pPr>
      <w:spacing w:after="57"/>
      <w:ind w:left="283" w:right="0" w:firstLine="0"/>
    </w:pPr>
  </w:style>
  <w:style w:type="paragraph" w:styleId="26">
    <w:name w:val="toc 9"/>
    <w:basedOn w:val="1"/>
    <w:next w:val="1"/>
    <w:autoRedefine/>
    <w:unhideWhenUsed/>
    <w:qFormat/>
    <w:uiPriority w:val="39"/>
    <w:pPr>
      <w:spacing w:after="57"/>
      <w:ind w:left="2268" w:right="0" w:firstLine="0"/>
    </w:pPr>
  </w:style>
  <w:style w:type="paragraph" w:styleId="27">
    <w:name w:val="Normal (Web)"/>
    <w:basedOn w:val="1"/>
    <w:autoRedefine/>
    <w:semiHidden/>
    <w:qFormat/>
    <w:uiPriority w:val="99"/>
    <w:pPr>
      <w:widowControl/>
      <w:spacing w:before="100" w:beforeAutospacing="1" w:after="100" w:afterAutospacing="1" w:line="240" w:lineRule="auto"/>
      <w:ind w:firstLine="0" w:firstLineChars="0"/>
      <w:jc w:val="left"/>
    </w:pPr>
    <w:rPr>
      <w:rFonts w:ascii="宋体" w:hAnsi="宋体" w:cs="宋体"/>
      <w:sz w:val="24"/>
      <w:szCs w:val="24"/>
    </w:rPr>
  </w:style>
  <w:style w:type="paragraph" w:styleId="28">
    <w:name w:val="Title"/>
    <w:basedOn w:val="1"/>
    <w:next w:val="1"/>
    <w:link w:val="45"/>
    <w:autoRedefine/>
    <w:qFormat/>
    <w:uiPriority w:val="10"/>
    <w:pPr>
      <w:spacing w:before="300" w:after="200"/>
      <w:contextualSpacing/>
    </w:pPr>
    <w:rPr>
      <w:sz w:val="48"/>
      <w:szCs w:val="48"/>
    </w:rPr>
  </w:style>
  <w:style w:type="table" w:styleId="30">
    <w:name w:val="Table Grid"/>
    <w:basedOn w:val="29"/>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Hyperlink"/>
    <w:autoRedefine/>
    <w:unhideWhenUsed/>
    <w:qFormat/>
    <w:uiPriority w:val="99"/>
    <w:rPr>
      <w:color w:val="0000FF" w:themeColor="hyperlink"/>
      <w:u w:val="single"/>
      <w14:textFill>
        <w14:solidFill>
          <w14:schemeClr w14:val="hlink"/>
        </w14:solidFill>
      </w14:textFill>
    </w:rPr>
  </w:style>
  <w:style w:type="character" w:styleId="33">
    <w:name w:val="footnote reference"/>
    <w:basedOn w:val="31"/>
    <w:autoRedefine/>
    <w:unhideWhenUsed/>
    <w:qFormat/>
    <w:uiPriority w:val="99"/>
    <w:rPr>
      <w:vertAlign w:val="superscript"/>
    </w:rPr>
  </w:style>
  <w:style w:type="character" w:customStyle="1" w:styleId="34">
    <w:name w:val="Heading 1 Char"/>
    <w:basedOn w:val="31"/>
    <w:link w:val="3"/>
    <w:autoRedefine/>
    <w:qFormat/>
    <w:uiPriority w:val="9"/>
    <w:rPr>
      <w:rFonts w:ascii="Arial" w:hAnsi="Arial" w:eastAsia="Arial" w:cs="Arial"/>
      <w:sz w:val="40"/>
      <w:szCs w:val="40"/>
    </w:rPr>
  </w:style>
  <w:style w:type="character" w:customStyle="1" w:styleId="35">
    <w:name w:val="Heading 2 Char"/>
    <w:basedOn w:val="31"/>
    <w:link w:val="2"/>
    <w:autoRedefine/>
    <w:qFormat/>
    <w:uiPriority w:val="9"/>
    <w:rPr>
      <w:rFonts w:ascii="Arial" w:hAnsi="Arial" w:eastAsia="Arial" w:cs="Arial"/>
      <w:sz w:val="34"/>
    </w:rPr>
  </w:style>
  <w:style w:type="character" w:customStyle="1" w:styleId="36">
    <w:name w:val="Heading 3 Char"/>
    <w:basedOn w:val="31"/>
    <w:link w:val="4"/>
    <w:autoRedefine/>
    <w:qFormat/>
    <w:uiPriority w:val="9"/>
    <w:rPr>
      <w:rFonts w:ascii="Arial" w:hAnsi="Arial" w:eastAsia="Arial" w:cs="Arial"/>
      <w:sz w:val="30"/>
      <w:szCs w:val="30"/>
    </w:rPr>
  </w:style>
  <w:style w:type="character" w:customStyle="1" w:styleId="37">
    <w:name w:val="Heading 4 Char"/>
    <w:basedOn w:val="31"/>
    <w:link w:val="5"/>
    <w:autoRedefine/>
    <w:qFormat/>
    <w:uiPriority w:val="9"/>
    <w:rPr>
      <w:rFonts w:ascii="Arial" w:hAnsi="Arial" w:eastAsia="Arial" w:cs="Arial"/>
      <w:b/>
      <w:bCs/>
      <w:sz w:val="26"/>
      <w:szCs w:val="26"/>
    </w:rPr>
  </w:style>
  <w:style w:type="character" w:customStyle="1" w:styleId="38">
    <w:name w:val="Heading 5 Char"/>
    <w:basedOn w:val="31"/>
    <w:link w:val="6"/>
    <w:autoRedefine/>
    <w:qFormat/>
    <w:uiPriority w:val="9"/>
    <w:rPr>
      <w:rFonts w:ascii="Arial" w:hAnsi="Arial" w:eastAsia="Arial" w:cs="Arial"/>
      <w:b/>
      <w:bCs/>
      <w:sz w:val="24"/>
      <w:szCs w:val="24"/>
    </w:rPr>
  </w:style>
  <w:style w:type="character" w:customStyle="1" w:styleId="39">
    <w:name w:val="Heading 6 Char"/>
    <w:basedOn w:val="31"/>
    <w:link w:val="7"/>
    <w:autoRedefine/>
    <w:qFormat/>
    <w:uiPriority w:val="9"/>
    <w:rPr>
      <w:rFonts w:ascii="Arial" w:hAnsi="Arial" w:eastAsia="Arial" w:cs="Arial"/>
      <w:b/>
      <w:bCs/>
      <w:sz w:val="22"/>
      <w:szCs w:val="22"/>
    </w:rPr>
  </w:style>
  <w:style w:type="character" w:customStyle="1" w:styleId="40">
    <w:name w:val="Heading 7 Char"/>
    <w:basedOn w:val="31"/>
    <w:link w:val="8"/>
    <w:autoRedefine/>
    <w:qFormat/>
    <w:uiPriority w:val="9"/>
    <w:rPr>
      <w:rFonts w:ascii="Arial" w:hAnsi="Arial" w:eastAsia="Arial" w:cs="Arial"/>
      <w:b/>
      <w:bCs/>
      <w:i/>
      <w:iCs/>
      <w:sz w:val="22"/>
      <w:szCs w:val="22"/>
    </w:rPr>
  </w:style>
  <w:style w:type="character" w:customStyle="1" w:styleId="41">
    <w:name w:val="Heading 8 Char"/>
    <w:basedOn w:val="31"/>
    <w:link w:val="9"/>
    <w:autoRedefine/>
    <w:qFormat/>
    <w:uiPriority w:val="9"/>
    <w:rPr>
      <w:rFonts w:ascii="Arial" w:hAnsi="Arial" w:eastAsia="Arial" w:cs="Arial"/>
      <w:i/>
      <w:iCs/>
      <w:sz w:val="22"/>
      <w:szCs w:val="22"/>
    </w:rPr>
  </w:style>
  <w:style w:type="character" w:customStyle="1" w:styleId="42">
    <w:name w:val="Heading 9 Char"/>
    <w:basedOn w:val="31"/>
    <w:link w:val="10"/>
    <w:autoRedefine/>
    <w:qFormat/>
    <w:uiPriority w:val="9"/>
    <w:rPr>
      <w:rFonts w:ascii="Arial" w:hAnsi="Arial" w:eastAsia="Arial" w:cs="Arial"/>
      <w:i/>
      <w:iCs/>
      <w:sz w:val="21"/>
      <w:szCs w:val="21"/>
    </w:rPr>
  </w:style>
  <w:style w:type="paragraph" w:styleId="43">
    <w:name w:val="List Paragraph"/>
    <w:basedOn w:val="1"/>
    <w:autoRedefine/>
    <w:qFormat/>
    <w:uiPriority w:val="34"/>
    <w:pPr>
      <w:ind w:left="720"/>
      <w:contextualSpacing/>
    </w:pPr>
  </w:style>
  <w:style w:type="paragraph" w:styleId="44">
    <w:name w:val="No Spacing"/>
    <w:autoRedefine/>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character" w:customStyle="1" w:styleId="45">
    <w:name w:val="Title Char"/>
    <w:basedOn w:val="31"/>
    <w:link w:val="28"/>
    <w:autoRedefine/>
    <w:qFormat/>
    <w:uiPriority w:val="10"/>
    <w:rPr>
      <w:sz w:val="48"/>
      <w:szCs w:val="48"/>
    </w:rPr>
  </w:style>
  <w:style w:type="character" w:customStyle="1" w:styleId="46">
    <w:name w:val="Subtitle Char"/>
    <w:basedOn w:val="31"/>
    <w:link w:val="22"/>
    <w:autoRedefine/>
    <w:qFormat/>
    <w:uiPriority w:val="11"/>
    <w:rPr>
      <w:sz w:val="24"/>
      <w:szCs w:val="24"/>
    </w:rPr>
  </w:style>
  <w:style w:type="paragraph" w:styleId="47">
    <w:name w:val="Quote"/>
    <w:basedOn w:val="1"/>
    <w:next w:val="1"/>
    <w:link w:val="48"/>
    <w:autoRedefine/>
    <w:qFormat/>
    <w:uiPriority w:val="29"/>
    <w:pPr>
      <w:ind w:left="720" w:right="720"/>
    </w:pPr>
    <w:rPr>
      <w:i/>
    </w:rPr>
  </w:style>
  <w:style w:type="character" w:customStyle="1" w:styleId="48">
    <w:name w:val="Quote Char"/>
    <w:link w:val="47"/>
    <w:autoRedefine/>
    <w:qFormat/>
    <w:uiPriority w:val="29"/>
    <w:rPr>
      <w:i/>
    </w:rPr>
  </w:style>
  <w:style w:type="paragraph" w:styleId="49">
    <w:name w:val="Intense Quote"/>
    <w:basedOn w:val="1"/>
    <w:next w:val="1"/>
    <w:link w:val="50"/>
    <w:autoRedefine/>
    <w:qFormat/>
    <w:uiPriority w:val="30"/>
    <w:pPr>
      <w:pBdr>
        <w:top w:val="single" w:color="FFFFFF" w:sz="4" w:space="5"/>
        <w:left w:val="single" w:color="FFFFFF" w:sz="4" w:space="10"/>
        <w:bottom w:val="single" w:color="FFFFFF" w:sz="4" w:space="5"/>
        <w:right w:val="single" w:color="FFFFFF" w:sz="4" w:space="10"/>
      </w:pBdr>
      <w:shd w:val="clear" w:color="auto" w:fill="FFFFFF"/>
      <w:ind w:left="720" w:right="720"/>
      <w:contextualSpacing w:val="0"/>
    </w:pPr>
    <w:rPr>
      <w:i/>
    </w:rPr>
  </w:style>
  <w:style w:type="character" w:customStyle="1" w:styleId="50">
    <w:name w:val="Intense Quote Char"/>
    <w:link w:val="49"/>
    <w:autoRedefine/>
    <w:qFormat/>
    <w:uiPriority w:val="30"/>
    <w:rPr>
      <w:i/>
    </w:rPr>
  </w:style>
  <w:style w:type="character" w:customStyle="1" w:styleId="51">
    <w:name w:val="Header Char"/>
    <w:basedOn w:val="31"/>
    <w:autoRedefine/>
    <w:qFormat/>
    <w:uiPriority w:val="99"/>
  </w:style>
  <w:style w:type="character" w:customStyle="1" w:styleId="52">
    <w:name w:val="Footer Char"/>
    <w:basedOn w:val="31"/>
    <w:autoRedefine/>
    <w:qFormat/>
    <w:uiPriority w:val="99"/>
  </w:style>
  <w:style w:type="character" w:customStyle="1" w:styleId="53">
    <w:name w:val="Caption Char"/>
    <w:autoRedefine/>
    <w:qFormat/>
    <w:uiPriority w:val="99"/>
  </w:style>
  <w:style w:type="table" w:customStyle="1" w:styleId="54">
    <w:name w:val="Table Grid Light"/>
    <w:basedOn w:val="29"/>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9"/>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6">
    <w:name w:val="Plain Table 2"/>
    <w:basedOn w:val="29"/>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9"/>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8">
    <w:name w:val="Plain Table 4"/>
    <w:basedOn w:val="29"/>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Plain Table 5"/>
    <w:basedOn w:val="29"/>
    <w:autoRedefine/>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Grid Table 1 Light"/>
    <w:basedOn w:val="29"/>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9"/>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29"/>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29"/>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29"/>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29"/>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29"/>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29"/>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8">
    <w:name w:val="Grid Table 2 - Accent 1"/>
    <w:basedOn w:val="29"/>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69">
    <w:name w:val="Grid Table 2 - Accent 2"/>
    <w:basedOn w:val="29"/>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0">
    <w:name w:val="Grid Table 2 - Accent 3"/>
    <w:basedOn w:val="29"/>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1">
    <w:name w:val="Grid Table 2 - Accent 4"/>
    <w:basedOn w:val="29"/>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72">
    <w:name w:val="Grid Table 2 - Accent 5"/>
    <w:basedOn w:val="29"/>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3">
    <w:name w:val="Grid Table 2 - Accent 6"/>
    <w:basedOn w:val="29"/>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4">
    <w:name w:val="Grid Table 3"/>
    <w:basedOn w:val="29"/>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5">
    <w:name w:val="Grid Table 3 - Accent 1"/>
    <w:basedOn w:val="29"/>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6">
    <w:name w:val="Grid Table 3 - Accent 2"/>
    <w:basedOn w:val="29"/>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7">
    <w:name w:val="Grid Table 3 - Accent 3"/>
    <w:basedOn w:val="29"/>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8">
    <w:name w:val="Grid Table 3 - Accent 4"/>
    <w:basedOn w:val="29"/>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79">
    <w:name w:val="Grid Table 3 - Accent 5"/>
    <w:basedOn w:val="29"/>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0">
    <w:name w:val="Grid Table 3 - Accent 6"/>
    <w:basedOn w:val="29"/>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1">
    <w:name w:val="Grid Table 4"/>
    <w:basedOn w:val="29"/>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2">
    <w:name w:val="Grid Table 4 - Accent 1"/>
    <w:basedOn w:val="29"/>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83">
    <w:name w:val="Grid Table 4 - Accent 2"/>
    <w:basedOn w:val="29"/>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84">
    <w:name w:val="Grid Table 4 - Accent 3"/>
    <w:basedOn w:val="29"/>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5">
    <w:name w:val="Grid Table 4 - Accent 4"/>
    <w:basedOn w:val="29"/>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6">
    <w:name w:val="Grid Table 4 - Accent 5"/>
    <w:basedOn w:val="29"/>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7">
    <w:name w:val="Grid Table 4 - Accent 6"/>
    <w:basedOn w:val="29"/>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8">
    <w:name w:val="Grid Table 5 Dark"/>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9">
    <w:name w:val="Grid Table 5 Dark- Accent 1"/>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90">
    <w:name w:val="Grid Table 5 Dark - Accent 2"/>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91">
    <w:name w:val="Grid Table 5 Dark - Accent 3"/>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92">
    <w:name w:val="Grid Table 5 Dark- Accent 4"/>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93">
    <w:name w:val="Grid Table 5 Dark - Accent 5"/>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94">
    <w:name w:val="Grid Table 5 Dark - Accent 6"/>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95">
    <w:name w:val="Grid Table 6 Colorful"/>
    <w:basedOn w:val="29"/>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9"/>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9"/>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9"/>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9"/>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9"/>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basedOn w:val="29"/>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basedOn w:val="29"/>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9"/>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9"/>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9"/>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9"/>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9"/>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basedOn w:val="29"/>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basedOn w:val="29"/>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0">
    <w:name w:val="List Table 1 Light - Accent 1"/>
    <w:basedOn w:val="29"/>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111">
    <w:name w:val="List Table 1 Light - Accent 2"/>
    <w:basedOn w:val="29"/>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112">
    <w:name w:val="List Table 1 Light - Accent 3"/>
    <w:basedOn w:val="29"/>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113">
    <w:name w:val="List Table 1 Light - Accent 4"/>
    <w:basedOn w:val="29"/>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114">
    <w:name w:val="List Table 1 Light - Accent 5"/>
    <w:basedOn w:val="29"/>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115">
    <w:name w:val="List Table 1 Light - Accent 6"/>
    <w:basedOn w:val="29"/>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116">
    <w:name w:val="List Table 2"/>
    <w:basedOn w:val="29"/>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7">
    <w:name w:val="List Table 2 - Accent 1"/>
    <w:basedOn w:val="29"/>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18">
    <w:name w:val="List Table 2 - Accent 2"/>
    <w:basedOn w:val="29"/>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19">
    <w:name w:val="List Table 2 - Accent 3"/>
    <w:basedOn w:val="29"/>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20">
    <w:name w:val="List Table 2 - Accent 4"/>
    <w:basedOn w:val="29"/>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21">
    <w:name w:val="List Table 2 - Accent 5"/>
    <w:basedOn w:val="29"/>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22">
    <w:name w:val="List Table 2 - Accent 6"/>
    <w:basedOn w:val="29"/>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3">
    <w:name w:val="List Table 3"/>
    <w:basedOn w:val="2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9"/>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29"/>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29"/>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29"/>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29"/>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29"/>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2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1">
    <w:name w:val="List Table 4 - Accent 1"/>
    <w:basedOn w:val="29"/>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32">
    <w:name w:val="List Table 4 - Accent 2"/>
    <w:basedOn w:val="29"/>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33">
    <w:name w:val="List Table 4 - Accent 3"/>
    <w:basedOn w:val="29"/>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34">
    <w:name w:val="List Table 4 - Accent 4"/>
    <w:basedOn w:val="29"/>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35">
    <w:name w:val="List Table 4 - Accent 5"/>
    <w:basedOn w:val="29"/>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36">
    <w:name w:val="List Table 4 - Accent 6"/>
    <w:basedOn w:val="29"/>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37">
    <w:name w:val="List Table 5 Dark"/>
    <w:basedOn w:val="29"/>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8">
    <w:name w:val="List Table 5 Dark - Accent 1"/>
    <w:basedOn w:val="29"/>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39">
    <w:name w:val="List Table 5 Dark - Accent 2"/>
    <w:basedOn w:val="29"/>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40">
    <w:name w:val="List Table 5 Dark - Accent 3"/>
    <w:basedOn w:val="29"/>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41">
    <w:name w:val="List Table 5 Dark - Accent 4"/>
    <w:basedOn w:val="29"/>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42">
    <w:name w:val="List Table 5 Dark - Accent 5"/>
    <w:basedOn w:val="29"/>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43">
    <w:name w:val="List Table 5 Dark - Accent 6"/>
    <w:basedOn w:val="29"/>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44">
    <w:name w:val="List Table 6 Colorful"/>
    <w:basedOn w:val="29"/>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9"/>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basedOn w:val="29"/>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9"/>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9"/>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9"/>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9"/>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9"/>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9"/>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basedOn w:val="29"/>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9"/>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9"/>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9"/>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9"/>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9"/>
    <w:autoRedefine/>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9">
    <w:name w:val="Lined - Accent 1"/>
    <w:basedOn w:val="29"/>
    <w:autoRedefine/>
    <w:qFormat/>
    <w:uiPriority w:val="99"/>
    <w:pPr>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0">
    <w:name w:val="Lined - Accent 2"/>
    <w:basedOn w:val="29"/>
    <w:autoRedefine/>
    <w:qFormat/>
    <w:uiPriority w:val="99"/>
    <w:pPr>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1">
    <w:name w:val="Lined - Accent 3"/>
    <w:basedOn w:val="29"/>
    <w:autoRedefine/>
    <w:qFormat/>
    <w:uiPriority w:val="99"/>
    <w:pPr>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2">
    <w:name w:val="Lined - Accent 4"/>
    <w:basedOn w:val="29"/>
    <w:autoRedefine/>
    <w:qFormat/>
    <w:uiPriority w:val="99"/>
    <w:pPr>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3">
    <w:name w:val="Lined - Accent 5"/>
    <w:basedOn w:val="29"/>
    <w:autoRedefine/>
    <w:qFormat/>
    <w:uiPriority w:val="99"/>
    <w:pPr>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64">
    <w:name w:val="Lined - Accent 6"/>
    <w:basedOn w:val="29"/>
    <w:autoRedefine/>
    <w:qFormat/>
    <w:uiPriority w:val="99"/>
    <w:pPr>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65">
    <w:name w:val="Bordered &amp; Lined - Accent"/>
    <w:basedOn w:val="29"/>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Bordered &amp; Lined - Accent 1"/>
    <w:basedOn w:val="29"/>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7">
    <w:name w:val="Bordered &amp; Lined - Accent 2"/>
    <w:basedOn w:val="29"/>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8">
    <w:name w:val="Bordered &amp; Lined - Accent 3"/>
    <w:basedOn w:val="29"/>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9">
    <w:name w:val="Bordered &amp; Lined - Accent 4"/>
    <w:basedOn w:val="29"/>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0">
    <w:name w:val="Bordered &amp; Lined - Accent 5"/>
    <w:basedOn w:val="29"/>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71">
    <w:name w:val="Bordered &amp; Lined - Accent 6"/>
    <w:basedOn w:val="29"/>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72">
    <w:name w:val="Bordered"/>
    <w:basedOn w:val="29"/>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9"/>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29"/>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29"/>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29"/>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29"/>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29"/>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3"/>
    <w:autoRedefine/>
    <w:qFormat/>
    <w:uiPriority w:val="99"/>
    <w:rPr>
      <w:sz w:val="18"/>
    </w:rPr>
  </w:style>
  <w:style w:type="paragraph" w:customStyle="1" w:styleId="180">
    <w:name w:val="TOC Heading"/>
    <w:autoRedefine/>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paragraph" w:customStyle="1" w:styleId="181">
    <w:name w:val="Char"/>
    <w:basedOn w:val="1"/>
    <w:autoRedefine/>
    <w:qFormat/>
    <w:uiPriority w:val="0"/>
    <w:pPr>
      <w:numPr>
        <w:ilvl w:val="0"/>
        <w:numId w:val="1"/>
      </w:numPr>
      <w:spacing w:line="240" w:lineRule="auto"/>
      <w:ind w:firstLineChars="0"/>
    </w:pPr>
  </w:style>
  <w:style w:type="character" w:customStyle="1" w:styleId="182">
    <w:name w:val="页眉 Char"/>
    <w:basedOn w:val="31"/>
    <w:link w:val="19"/>
    <w:autoRedefine/>
    <w:semiHidden/>
    <w:qFormat/>
    <w:uiPriority w:val="99"/>
    <w:rPr>
      <w:rFonts w:ascii="Times New Roman" w:hAnsi="Times New Roman"/>
      <w:sz w:val="18"/>
      <w:szCs w:val="18"/>
    </w:rPr>
  </w:style>
  <w:style w:type="character" w:customStyle="1" w:styleId="183">
    <w:name w:val="页脚 Char"/>
    <w:basedOn w:val="31"/>
    <w:link w:val="18"/>
    <w:autoRedefine/>
    <w:semiHidden/>
    <w:qFormat/>
    <w:uiPriority w:val="99"/>
    <w:rPr>
      <w:rFonts w:ascii="Times New Roman" w:hAnsi="Times New Roman"/>
      <w:sz w:val="18"/>
      <w:szCs w:val="18"/>
    </w:rPr>
  </w:style>
  <w:style w:type="character" w:customStyle="1" w:styleId="184">
    <w:name w:val="日期 Char"/>
    <w:basedOn w:val="31"/>
    <w:link w:val="16"/>
    <w:autoRedefine/>
    <w:semiHidden/>
    <w:qFormat/>
    <w:uiPriority w:val="99"/>
    <w:rPr>
      <w:rFonts w:ascii="Times New Roman" w:hAnsi="Times New Roman"/>
      <w:sz w:val="21"/>
      <w:szCs w:val="24"/>
    </w:rPr>
  </w:style>
  <w:style w:type="character" w:customStyle="1" w:styleId="185">
    <w:name w:val="批注框文本 Char"/>
    <w:basedOn w:val="31"/>
    <w:link w:val="17"/>
    <w:autoRedefine/>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TotalTime>0</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2019-03-25T00:51:00Z</dcterms:created>
  <dc:creator>adm</dc:creator>
  <cp:lastModifiedBy>赵凯</cp:lastModifiedBy>
  <cp:lastPrinted>2023-04-28T10:34:00Z</cp:lastPrinted>
  <dcterms:modified xsi:type="dcterms:W3CDTF">2024-04-30T03:56:41Z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51C7A266ED9C4E32A900DD2D6B1CF745</vt:lpwstr>
  </property>
</Properties>
</file>