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uppressAutoHyphens/>
        <w:jc w:val="center"/>
        <w:rPr>
          <w:rFonts w:ascii="宋体" w:cs="方正小标宋_GBK"/>
          <w:spacing w:val="120"/>
          <w:kern w:val="1"/>
          <w:sz w:val="44"/>
          <w:szCs w:val="44"/>
          <w:u w:val="none"/>
        </w:rPr>
      </w:pPr>
      <w:bookmarkStart w:id="1" w:name="_GoBack"/>
      <w:bookmarkEnd w:id="1"/>
    </w:p>
    <w:p>
      <w:pPr>
        <w:suppressAutoHyphens/>
        <w:jc w:val="center"/>
        <w:rPr>
          <w:rFonts w:ascii="宋体" w:cs="方正小标宋_GBK"/>
          <w:spacing w:val="120"/>
          <w:kern w:val="1"/>
          <w:sz w:val="44"/>
          <w:szCs w:val="44"/>
          <w:u w:val="none"/>
        </w:rPr>
      </w:pPr>
    </w:p>
    <w:p>
      <w:pPr>
        <w:suppressAutoHyphens/>
        <w:jc w:val="center"/>
        <w:rPr>
          <w:rFonts w:ascii="宋体" w:cs="方正小标宋_GBK"/>
          <w:spacing w:val="120"/>
          <w:kern w:val="1"/>
          <w:sz w:val="44"/>
          <w:szCs w:val="44"/>
          <w:u w:val="none"/>
        </w:rPr>
      </w:pPr>
    </w:p>
    <w:p>
      <w:pPr>
        <w:suppressAutoHyphens/>
        <w:jc w:val="center"/>
        <w:outlineLvl w:val="0"/>
        <w:rPr>
          <w:rFonts w:ascii="宋体" w:cs="方正小标宋_GBK"/>
          <w:spacing w:val="119"/>
          <w:kern w:val="12"/>
          <w:sz w:val="44"/>
          <w:szCs w:val="44"/>
          <w:u w:val="none"/>
        </w:rPr>
      </w:pPr>
      <w:r>
        <w:rPr>
          <w:rFonts w:hint="eastAsia" w:ascii="宋体" w:hAnsi="宋体" w:cs="方正小标宋_GBK"/>
          <w:spacing w:val="120"/>
          <w:kern w:val="1"/>
          <w:sz w:val="44"/>
          <w:szCs w:val="44"/>
          <w:u w:val="none"/>
          <w:lang w:val="en-US" w:eastAsia="zh-CN"/>
        </w:rPr>
        <w:t>广州市</w:t>
      </w:r>
      <w:r>
        <w:rPr>
          <w:rFonts w:hint="eastAsia" w:ascii="宋体" w:hAnsi="宋体" w:cs="方正小标宋_GBK"/>
          <w:spacing w:val="119"/>
          <w:kern w:val="12"/>
          <w:sz w:val="44"/>
          <w:szCs w:val="44"/>
          <w:u w:val="none"/>
          <w:lang w:val="en-US" w:eastAsia="zh-CN"/>
        </w:rPr>
        <w:t>花都区</w:t>
      </w:r>
      <w:r>
        <w:rPr>
          <w:rFonts w:hint="eastAsia" w:ascii="宋体" w:hAnsi="宋体" w:cs="方正小标宋_GBK"/>
          <w:spacing w:val="119"/>
          <w:kern w:val="12"/>
          <w:sz w:val="44"/>
          <w:szCs w:val="44"/>
          <w:u w:val="none"/>
          <w:lang w:eastAsia="ar-SA"/>
        </w:rPr>
        <w:t>人民政府</w:t>
      </w:r>
    </w:p>
    <w:p>
      <w:pPr>
        <w:pStyle w:val="3"/>
        <w:jc w:val="center"/>
        <w:outlineLvl w:val="0"/>
        <w:rPr>
          <w:rFonts w:ascii="方正小标宋_GBK" w:hAnsi="小标宋" w:eastAsia="方正小标宋_GBK" w:cs="小标宋"/>
          <w:spacing w:val="20"/>
          <w:kern w:val="4"/>
          <w:sz w:val="44"/>
          <w:szCs w:val="44"/>
          <w:u w:val="none"/>
        </w:rPr>
      </w:pPr>
      <w:r>
        <w:rPr>
          <w:rFonts w:hint="eastAsia" w:ascii="方正小标宋_GBK" w:hAnsi="小标宋" w:eastAsia="方正小标宋_GBK" w:cs="小标宋"/>
          <w:spacing w:val="20"/>
          <w:kern w:val="4"/>
          <w:sz w:val="44"/>
          <w:szCs w:val="44"/>
          <w:u w:val="none"/>
        </w:rPr>
        <w:t>行政复议决定书</w:t>
      </w:r>
    </w:p>
    <w:p>
      <w:pPr>
        <w:pStyle w:val="3"/>
        <w:spacing w:line="540" w:lineRule="exact"/>
        <w:jc w:val="center"/>
        <w:rPr>
          <w:rFonts w:ascii="方正小标宋简体" w:hAnsi="宋体" w:eastAsia="方正小标宋简体" w:cs="宋体"/>
          <w:sz w:val="44"/>
          <w:szCs w:val="44"/>
          <w:u w:val="none"/>
        </w:rPr>
      </w:pPr>
    </w:p>
    <w:p>
      <w:pPr>
        <w:pStyle w:val="3"/>
        <w:jc w:val="right"/>
        <w:rPr>
          <w:rFonts w:hint="eastAsia" w:ascii="仿宋" w:hAnsi="仿宋" w:eastAsia="仿宋" w:cs="仿宋"/>
          <w:u w:val="none"/>
        </w:rPr>
      </w:pPr>
      <w:r>
        <w:rPr>
          <w:rFonts w:hint="eastAsia" w:ascii="仿宋" w:hAnsi="仿宋" w:eastAsia="仿宋" w:cs="仿宋"/>
          <w:u w:val="none"/>
          <w:lang w:val="en-US" w:eastAsia="zh-CN"/>
        </w:rPr>
        <w:t>花都</w:t>
      </w:r>
      <w:r>
        <w:rPr>
          <w:rFonts w:hint="eastAsia" w:ascii="仿宋" w:hAnsi="仿宋" w:eastAsia="仿宋" w:cs="仿宋"/>
          <w:u w:val="none"/>
        </w:rPr>
        <w:t>府行复〔</w:t>
      </w:r>
      <w:r>
        <w:rPr>
          <w:rFonts w:hint="eastAsia" w:ascii="仿宋" w:hAnsi="仿宋" w:eastAsia="仿宋" w:cs="仿宋"/>
          <w:u w:val="none"/>
          <w:lang w:val="en-US" w:eastAsia="zh-CN"/>
        </w:rPr>
        <w:t>2021</w:t>
      </w:r>
      <w:r>
        <w:rPr>
          <w:rFonts w:hint="eastAsia" w:ascii="仿宋" w:hAnsi="仿宋" w:eastAsia="仿宋" w:cs="仿宋"/>
          <w:u w:val="none"/>
        </w:rPr>
        <w:t>〕</w:t>
      </w:r>
      <w:r>
        <w:rPr>
          <w:rFonts w:hint="eastAsia" w:ascii="仿宋" w:hAnsi="仿宋" w:eastAsia="仿宋" w:cs="仿宋"/>
          <w:u w:val="none"/>
          <w:lang w:val="en-US" w:eastAsia="zh-CN"/>
        </w:rPr>
        <w:t>295</w:t>
      </w:r>
      <w:r>
        <w:rPr>
          <w:rFonts w:hint="eastAsia" w:ascii="仿宋" w:hAnsi="仿宋" w:eastAsia="仿宋" w:cs="仿宋"/>
          <w:u w:val="none"/>
        </w:rPr>
        <w:t>号</w:t>
      </w:r>
    </w:p>
    <w:p>
      <w:pPr>
        <w:pStyle w:val="3"/>
        <w:jc w:val="right"/>
        <w:rPr>
          <w:rFonts w:hint="eastAsia" w:ascii="仿宋" w:hAnsi="仿宋" w:eastAsia="仿宋" w:cs="仿宋"/>
          <w:u w:val="none"/>
        </w:rPr>
      </w:pPr>
    </w:p>
    <w:p>
      <w:pPr>
        <w:pStyle w:val="3"/>
        <w:ind w:firstLine="643" w:firstLineChars="200"/>
        <w:outlineLvl w:val="0"/>
        <w:rPr>
          <w:rFonts w:hint="eastAsia" w:ascii="仿宋" w:hAnsi="仿宋" w:eastAsia="仿宋" w:cs="仿宋"/>
          <w:u w:val="none"/>
        </w:rPr>
      </w:pPr>
      <w:r>
        <w:rPr>
          <w:rFonts w:hint="eastAsia" w:ascii="仿宋" w:hAnsi="仿宋" w:eastAsia="仿宋" w:cs="仿宋"/>
          <w:b/>
          <w:u w:val="none"/>
        </w:rPr>
        <w:t>申请人：</w:t>
      </w:r>
      <w:r>
        <w:rPr>
          <w:rFonts w:hint="eastAsia" w:ascii="仿宋" w:hAnsi="仿宋" w:eastAsia="仿宋" w:cs="仿宋"/>
          <w:sz w:val="32"/>
          <w:szCs w:val="32"/>
          <w:lang w:eastAsia="zh-CN"/>
        </w:rPr>
        <w:t>龙某</w:t>
      </w:r>
      <w:r>
        <w:rPr>
          <w:rFonts w:hint="eastAsia" w:ascii="仿宋" w:hAnsi="仿宋" w:eastAsia="仿宋" w:cs="仿宋"/>
          <w:u w:val="none"/>
        </w:rPr>
        <w:t>。</w:t>
      </w:r>
    </w:p>
    <w:p>
      <w:pPr>
        <w:pStyle w:val="3"/>
        <w:ind w:firstLine="643" w:firstLineChars="200"/>
        <w:outlineLvl w:val="0"/>
        <w:rPr>
          <w:rFonts w:hint="eastAsia" w:ascii="仿宋" w:hAnsi="仿宋" w:eastAsia="仿宋" w:cs="仿宋"/>
          <w:b w:val="0"/>
          <w:bCs/>
          <w:u w:val="none"/>
          <w:lang w:eastAsia="zh-CN"/>
        </w:rPr>
      </w:pPr>
      <w:r>
        <w:rPr>
          <w:rFonts w:hint="eastAsia" w:ascii="仿宋" w:hAnsi="仿宋" w:eastAsia="仿宋" w:cs="仿宋"/>
          <w:b/>
          <w:u w:val="none"/>
        </w:rPr>
        <w:t>被申请人：</w:t>
      </w:r>
      <w:r>
        <w:rPr>
          <w:rFonts w:hint="eastAsia" w:ascii="仿宋" w:hAnsi="仿宋" w:eastAsia="仿宋" w:cs="仿宋"/>
          <w:color w:val="auto"/>
          <w:sz w:val="32"/>
          <w:szCs w:val="32"/>
          <w:lang w:val="en-US" w:eastAsia="zh-CN"/>
        </w:rPr>
        <w:t>广州市</w:t>
      </w:r>
      <w:r>
        <w:rPr>
          <w:rFonts w:hint="eastAsia" w:ascii="仿宋" w:hAnsi="仿宋" w:eastAsia="仿宋" w:cs="仿宋"/>
          <w:color w:val="auto"/>
          <w:sz w:val="32"/>
          <w:szCs w:val="32"/>
        </w:rPr>
        <w:t>花都区</w:t>
      </w:r>
      <w:r>
        <w:rPr>
          <w:rFonts w:hint="eastAsia" w:ascii="仿宋" w:hAnsi="仿宋" w:eastAsia="仿宋" w:cs="仿宋"/>
          <w:color w:val="auto"/>
          <w:sz w:val="32"/>
          <w:szCs w:val="32"/>
          <w:lang w:val="en-US" w:eastAsia="zh-CN"/>
        </w:rPr>
        <w:t>市场监督管理局</w:t>
      </w:r>
      <w:r>
        <w:rPr>
          <w:rFonts w:hint="eastAsia" w:ascii="仿宋" w:hAnsi="仿宋" w:eastAsia="仿宋" w:cs="仿宋"/>
          <w:b w:val="0"/>
          <w:bCs/>
          <w:u w:val="none"/>
          <w:lang w:eastAsia="zh-CN"/>
        </w:rPr>
        <w:t>。</w:t>
      </w:r>
    </w:p>
    <w:p>
      <w:pPr>
        <w:pStyle w:val="3"/>
        <w:rPr>
          <w:rFonts w:hint="eastAsia" w:ascii="仿宋" w:hAnsi="仿宋" w:eastAsia="仿宋" w:cs="仿宋"/>
          <w:u w:val="none"/>
        </w:rPr>
      </w:pPr>
    </w:p>
    <w:p>
      <w:pPr>
        <w:pStyle w:val="3"/>
        <w:tabs>
          <w:tab w:val="left" w:pos="6930"/>
        </w:tabs>
        <w:ind w:firstLine="640" w:firstLineChars="200"/>
        <w:rPr>
          <w:rFonts w:hint="eastAsia" w:ascii="仿宋" w:hAnsi="仿宋" w:eastAsia="仿宋" w:cs="仿宋"/>
          <w:color w:val="0000FF"/>
          <w:u w:val="none"/>
        </w:rPr>
      </w:pPr>
      <w:r>
        <w:rPr>
          <w:rFonts w:hint="eastAsia" w:ascii="仿宋" w:hAnsi="仿宋" w:eastAsia="仿宋" w:cs="仿宋"/>
          <w:color w:val="auto"/>
          <w:highlight w:val="none"/>
          <w:u w:val="none"/>
        </w:rPr>
        <w:t>申请人不服被申请人</w:t>
      </w:r>
      <w:r>
        <w:rPr>
          <w:rFonts w:hint="eastAsia" w:ascii="仿宋" w:hAnsi="仿宋" w:eastAsia="仿宋" w:cs="仿宋"/>
          <w:color w:val="auto"/>
          <w:highlight w:val="none"/>
          <w:u w:val="none"/>
          <w:lang w:val="en-US" w:eastAsia="zh-CN"/>
        </w:rPr>
        <w:t>作出的投诉</w:t>
      </w:r>
      <w:r>
        <w:rPr>
          <w:rFonts w:hint="eastAsia" w:ascii="仿宋" w:hAnsi="仿宋" w:eastAsia="仿宋" w:cs="仿宋"/>
          <w:color w:val="auto"/>
          <w:sz w:val="32"/>
          <w:szCs w:val="32"/>
          <w:highlight w:val="none"/>
          <w:lang w:val="en-US" w:eastAsia="zh-CN"/>
        </w:rPr>
        <w:t>举报答复</w:t>
      </w:r>
      <w:r>
        <w:rPr>
          <w:rFonts w:hint="eastAsia" w:ascii="仿宋" w:hAnsi="仿宋" w:eastAsia="仿宋" w:cs="仿宋"/>
          <w:color w:val="auto"/>
          <w:highlight w:val="none"/>
          <w:u w:val="none"/>
        </w:rPr>
        <w:t>，</w:t>
      </w:r>
      <w:r>
        <w:rPr>
          <w:rFonts w:hint="eastAsia" w:ascii="仿宋" w:hAnsi="仿宋" w:eastAsia="仿宋" w:cs="仿宋"/>
          <w:color w:val="auto"/>
          <w:highlight w:val="none"/>
          <w:u w:val="none"/>
          <w:lang w:val="en-US" w:eastAsia="zh-CN"/>
        </w:rPr>
        <w:t>认为被申请人未依法办案，行政不作为，</w:t>
      </w:r>
      <w:r>
        <w:rPr>
          <w:rFonts w:hint="eastAsia" w:ascii="仿宋" w:hAnsi="仿宋" w:eastAsia="仿宋" w:cs="仿宋"/>
          <w:color w:val="auto"/>
          <w:highlight w:val="none"/>
          <w:u w:val="none"/>
        </w:rPr>
        <w:t>向</w:t>
      </w:r>
      <w:r>
        <w:rPr>
          <w:rFonts w:hint="eastAsia" w:ascii="仿宋" w:hAnsi="仿宋" w:eastAsia="仿宋" w:cs="仿宋"/>
          <w:color w:val="auto"/>
          <w:u w:val="none"/>
        </w:rPr>
        <w:t>本府申请行政复议，本府依法予以受理，现已审查终结。</w:t>
      </w:r>
    </w:p>
    <w:p>
      <w:pPr>
        <w:pStyle w:val="3"/>
        <w:ind w:firstLine="640" w:firstLineChars="200"/>
        <w:rPr>
          <w:rFonts w:ascii="黑体" w:hAnsi="黑体" w:eastAsia="黑体" w:cs="宋体"/>
          <w:u w:val="none"/>
        </w:rPr>
      </w:pPr>
      <w:r>
        <w:rPr>
          <w:rFonts w:hint="eastAsia" w:ascii="黑体" w:hAnsi="黑体" w:eastAsia="黑体" w:cs="宋体"/>
          <w:u w:val="none"/>
        </w:rPr>
        <w:t>申请人请求：</w:t>
      </w:r>
    </w:p>
    <w:p>
      <w:pPr>
        <w:pStyle w:val="3"/>
        <w:ind w:firstLine="640" w:firstLineChars="200"/>
        <w:rPr>
          <w:rFonts w:hint="eastAsia" w:ascii="仿宋" w:hAnsi="仿宋" w:eastAsia="仿宋" w:cs="仿宋"/>
          <w:b w:val="0"/>
          <w:bCs w:val="0"/>
          <w:u w:val="none"/>
          <w:lang w:val="en-US" w:eastAsia="zh-CN"/>
        </w:rPr>
      </w:pPr>
      <w:r>
        <w:rPr>
          <w:rFonts w:hint="eastAsia" w:ascii="仿宋" w:hAnsi="仿宋" w:eastAsia="仿宋" w:cs="仿宋"/>
          <w:b w:val="0"/>
          <w:bCs w:val="0"/>
          <w:u w:val="none"/>
          <w:lang w:val="en-US" w:eastAsia="zh-CN"/>
        </w:rPr>
        <w:t>1、撤销被申请人对在全国12315网络平台关于广州市花都区狮岭某某工厂的</w:t>
      </w:r>
      <w:r>
        <w:rPr>
          <w:rFonts w:hint="eastAsia" w:ascii="仿宋" w:hAnsi="仿宋" w:eastAsia="仿宋" w:cs="仿宋"/>
          <w:b w:val="0"/>
          <w:bCs w:val="0"/>
          <w:spacing w:val="-20"/>
          <w:u w:val="none"/>
          <w:lang w:val="en-US" w:eastAsia="zh-CN"/>
        </w:rPr>
        <w:t xml:space="preserve">举报编号：1440114002021081645142298 </w:t>
      </w:r>
      <w:r>
        <w:rPr>
          <w:rFonts w:hint="eastAsia" w:ascii="仿宋" w:hAnsi="仿宋" w:eastAsia="仿宋" w:cs="仿宋"/>
          <w:b w:val="0"/>
          <w:bCs w:val="0"/>
          <w:u w:val="none"/>
          <w:lang w:val="en-US" w:eastAsia="zh-CN"/>
        </w:rPr>
        <w:t>的处理决定。</w:t>
      </w:r>
    </w:p>
    <w:p>
      <w:pPr>
        <w:pStyle w:val="3"/>
        <w:ind w:firstLine="640" w:firstLineChars="200"/>
        <w:rPr>
          <w:rFonts w:hint="eastAsia" w:ascii="仿宋" w:hAnsi="仿宋" w:eastAsia="仿宋" w:cs="仿宋"/>
          <w:b w:val="0"/>
          <w:bCs w:val="0"/>
          <w:u w:val="none"/>
          <w:lang w:val="en-US" w:eastAsia="zh-CN"/>
        </w:rPr>
      </w:pPr>
      <w:r>
        <w:rPr>
          <w:rFonts w:hint="eastAsia" w:ascii="仿宋" w:hAnsi="仿宋" w:eastAsia="仿宋" w:cs="仿宋"/>
          <w:b w:val="0"/>
          <w:bCs w:val="0"/>
          <w:u w:val="none"/>
          <w:lang w:val="en-US" w:eastAsia="zh-CN"/>
        </w:rPr>
        <w:t>2、责令被申请人重新办理在全国12315 网络平台关于</w:t>
      </w:r>
      <w:r>
        <w:rPr>
          <w:rFonts w:hint="eastAsia" w:ascii="仿宋" w:hAnsi="仿宋" w:eastAsia="仿宋" w:cs="仿宋"/>
          <w:b w:val="0"/>
          <w:bCs w:val="0"/>
          <w:spacing w:val="-23"/>
          <w:u w:val="none"/>
          <w:lang w:val="en-US" w:eastAsia="zh-CN"/>
        </w:rPr>
        <w:t>广州市花都区狮岭</w:t>
      </w:r>
      <w:r>
        <w:rPr>
          <w:rFonts w:hint="eastAsia" w:ascii="仿宋" w:hAnsi="仿宋" w:eastAsia="仿宋" w:cs="仿宋"/>
          <w:b w:val="0"/>
          <w:bCs w:val="0"/>
          <w:spacing w:val="-23"/>
          <w:u w:val="none"/>
          <w:lang w:val="en-US" w:eastAsia="zh-CN"/>
        </w:rPr>
        <w:t>某某工厂</w:t>
      </w:r>
      <w:r>
        <w:rPr>
          <w:rFonts w:hint="eastAsia" w:ascii="仿宋" w:hAnsi="仿宋" w:eastAsia="仿宋" w:cs="仿宋"/>
          <w:b w:val="0"/>
          <w:bCs w:val="0"/>
          <w:spacing w:val="-23"/>
          <w:u w:val="none"/>
          <w:lang w:val="en-US" w:eastAsia="zh-CN"/>
        </w:rPr>
        <w:t>的举报编号：</w:t>
      </w:r>
      <w:r>
        <w:rPr>
          <w:rFonts w:hint="eastAsia" w:ascii="仿宋" w:hAnsi="仿宋" w:eastAsia="仿宋" w:cs="仿宋"/>
          <w:b w:val="0"/>
          <w:bCs w:val="0"/>
          <w:spacing w:val="-20"/>
          <w:u w:val="none"/>
          <w:lang w:val="en-US" w:eastAsia="zh-CN"/>
        </w:rPr>
        <w:t xml:space="preserve">1440114002021081645142298 </w:t>
      </w:r>
      <w:r>
        <w:rPr>
          <w:rFonts w:hint="eastAsia" w:ascii="仿宋" w:hAnsi="仿宋" w:eastAsia="仿宋" w:cs="仿宋"/>
          <w:b w:val="0"/>
          <w:bCs w:val="0"/>
          <w:u w:val="none"/>
          <w:lang w:val="en-US" w:eastAsia="zh-CN"/>
        </w:rPr>
        <w:t>的投诉举报件。</w:t>
      </w:r>
    </w:p>
    <w:p>
      <w:pPr>
        <w:pStyle w:val="3"/>
        <w:ind w:firstLine="640" w:firstLineChars="200"/>
        <w:rPr>
          <w:rFonts w:hint="eastAsia" w:ascii="黑体" w:hAnsi="黑体" w:eastAsia="黑体" w:cs="宋体"/>
          <w:u w:val="none"/>
        </w:rPr>
      </w:pPr>
      <w:r>
        <w:rPr>
          <w:rFonts w:hint="eastAsia" w:ascii="黑体" w:hAnsi="黑体" w:eastAsia="黑体" w:cs="宋体"/>
          <w:u w:val="none"/>
        </w:rPr>
        <w:t>申请人称：</w:t>
      </w:r>
    </w:p>
    <w:p>
      <w:pPr>
        <w:pStyle w:val="3"/>
        <w:ind w:firstLine="640" w:firstLineChars="200"/>
        <w:rPr>
          <w:rFonts w:hint="eastAsia" w:ascii="仿宋" w:hAnsi="仿宋" w:eastAsia="仿宋" w:cs="仿宋"/>
          <w:u w:val="none"/>
          <w:lang w:val="en-US" w:eastAsia="zh-CN"/>
        </w:rPr>
      </w:pPr>
      <w:r>
        <w:rPr>
          <w:rFonts w:hint="eastAsia" w:ascii="仿宋" w:hAnsi="仿宋" w:eastAsia="仿宋" w:cs="仿宋"/>
          <w:u w:val="none"/>
          <w:lang w:val="en-US" w:eastAsia="zh-CN"/>
        </w:rPr>
        <w:t>申请人于 2021-08-16 在全国12315网络平台举报的方式到被申请人处进行实名举报，举报广州市花都区狮岭某某工厂生产经营不符合国家安全标准商品。举报编号：1440114002021081645142298，举报内容：本人于 2021.5.20 在龙-1688 平台“广州市花都区狮岭某某工厂”开设的店铺“广州市花都区狮岭某某工厂”，支付花费 21.15元购买网店标题宣称“LED 集成吊顶灯300*300办公室厨房卫生间铝扣浴室面板平板灯”的 30*30-20W集成吊顶灯2件，发现产品存在不符合国家安全标准、以次充好的问题。请求在法定的工作日内对该么司的产品进行调查，本人对本次购买的产品要求商家提供依据嵌入式灯具、LED 镇流器的相关检测报告。并将处理结果和相关的产品证明报告等以 12315 平台网站文字回复和书面邮寄信函回复二种方式回复本人，以便本人行政复议和起诉维权之用，并提供了所有证据材料（见12315编号：1440114002021081645142298 下的附件材料）。而被申请人于 2021-08-27 回复：“经审查，符合立案条件，决定立案。”，</w:t>
      </w:r>
      <w:r>
        <w:rPr>
          <w:rFonts w:hint="default" w:ascii="仿宋_GB2312" w:hAnsi="Courier New" w:eastAsia="仿宋_GB2312" w:cs="Courier New"/>
          <w:u w:val="none"/>
          <w:lang w:val="en-US" w:eastAsia="zh-CN"/>
        </w:rPr>
        <w:t>又于 2021-08-27 回复：“</w:t>
      </w:r>
      <w:r>
        <w:rPr>
          <w:rFonts w:hint="default" w:ascii="仿宋_GB2312" w:hAnsi="Courier New" w:eastAsia="仿宋_GB2312" w:cs="Courier New"/>
          <w:u w:val="none"/>
          <w:lang w:val="en-US" w:eastAsia="zh-CN"/>
        </w:rPr>
        <w:t>龙某</w:t>
      </w:r>
      <w:r>
        <w:rPr>
          <w:rFonts w:hint="default" w:ascii="仿宋_GB2312" w:hAnsi="Courier New" w:eastAsia="仿宋_GB2312" w:cs="Courier New"/>
          <w:u w:val="none"/>
          <w:lang w:val="en-US" w:eastAsia="zh-CN"/>
        </w:rPr>
        <w:t>：你向我局举报广州市花都区狮岭</w:t>
      </w:r>
      <w:r>
        <w:rPr>
          <w:rFonts w:hint="default" w:ascii="仿宋_GB2312" w:hAnsi="Courier New" w:eastAsia="仿宋_GB2312" w:cs="Courier New"/>
          <w:u w:val="none"/>
          <w:lang w:val="en-US" w:eastAsia="zh-CN"/>
        </w:rPr>
        <w:t>某某工厂</w:t>
      </w:r>
      <w:r>
        <w:rPr>
          <w:rFonts w:hint="default" w:ascii="仿宋_GB2312" w:hAnsi="Courier New" w:eastAsia="仿宋_GB2312" w:cs="Courier New"/>
          <w:u w:val="none"/>
          <w:lang w:val="en-US" w:eastAsia="zh-CN"/>
        </w:rPr>
        <w:t>涉嫌销售不符合国家安全标准、以次充好的产品，请求我局查处的材料已收悉，经调查核实，</w:t>
      </w:r>
      <w:r>
        <w:rPr>
          <w:rFonts w:hint="default" w:ascii="仿宋_GB2312" w:hAnsi="Courier New" w:eastAsia="仿宋_GB2312" w:cs="Courier New"/>
          <w:highlight w:val="none"/>
          <w:u w:val="none"/>
          <w:lang w:val="en-US" w:eastAsia="zh-CN"/>
        </w:rPr>
        <w:t>现答复如下：</w:t>
      </w:r>
      <w:r>
        <w:rPr>
          <w:rFonts w:hint="default" w:ascii="仿宋_GB2312" w:hAnsi="Courier New" w:eastAsia="仿宋_GB2312" w:cs="Courier New"/>
          <w:highlight w:val="none"/>
          <w:u w:val="none"/>
          <w:lang w:val="en-US" w:eastAsia="zh-CN"/>
        </w:rPr>
        <w:t>我局执法人员于2021年8月27日到广州市花都区狮岭镇某某村进行检查，该地址未发现存在广州市花都区狮岭某某工厂的经营迹象，</w:t>
      </w:r>
      <w:r>
        <w:rPr>
          <w:rFonts w:hint="default" w:ascii="仿宋_GB2312" w:hAnsi="Courier New" w:eastAsia="仿宋_GB2312" w:cs="Courier New"/>
          <w:u w:val="none"/>
          <w:lang w:val="en-US" w:eastAsia="zh-CN"/>
        </w:rPr>
        <w:t>无法通过该地址与该企业取得联系。由于被投诉</w:t>
      </w:r>
      <w:r>
        <w:rPr>
          <w:rFonts w:hint="eastAsia" w:ascii="仿宋" w:hAnsi="仿宋" w:eastAsia="仿宋" w:cs="仿宋"/>
          <w:u w:val="none"/>
          <w:lang w:val="en-US" w:eastAsia="zh-CN"/>
        </w:rPr>
        <w:t>人无法查找，我局决定中止调查，不予立案处理。如有新情况新线索请再行向我局反映。如不服我局对你的投诉举报的处理，可以在收到本回复之日起六十日内向花都区人民政府或广州市市场监督管理局申请复议（我市正在进行行政复议体制改革，区政府各部门被复议案件统一由区人民政府办理，建议您向花都区人民政府提出行政复议申请）；也可以在接到本回复之日起六个月内直接向广州铁路运输法院起诉。复议机关地址和电话如下：花都区人民政府地址：广州市花都区天贵路94号，电话：020-86884147。广州市市场监督管理局地址：广州市天河区天河路112号，电话：020-85596340。行政诉讼部门地址和电话如下：广州铁路运输法院地址：广州市荔湾区花地大道中68号荔胜广场（南塔），电话：020-37890836。2021年8月27日”对于被申请人的处理结果，申请人不服，主要有如下：</w:t>
      </w:r>
    </w:p>
    <w:p>
      <w:pPr>
        <w:pStyle w:val="3"/>
        <w:ind w:firstLine="640" w:firstLineChars="200"/>
        <w:rPr>
          <w:rFonts w:hint="eastAsia" w:ascii="仿宋" w:hAnsi="仿宋" w:eastAsia="仿宋" w:cs="仿宋"/>
          <w:u w:val="none"/>
          <w:lang w:val="en-US" w:eastAsia="zh-CN"/>
        </w:rPr>
      </w:pPr>
      <w:r>
        <w:rPr>
          <w:rFonts w:hint="eastAsia" w:ascii="仿宋" w:hAnsi="仿宋" w:eastAsia="仿宋" w:cs="仿宋"/>
          <w:u w:val="none"/>
          <w:lang w:val="en-US" w:eastAsia="zh-CN"/>
        </w:rPr>
        <w:t>一、《中华人民共和国企业法人登记管理条例》第四条：市场监督管理部门是企业法人登记和营业登记的主管机关。《中华人民共和国企业法人登记管理条例施行细则》第六条，这两条明确了市场监督管理部门作为主管机关的职责原则。《中华人民共和国企业法人登记管理条例施行细则》第五十六条（一）（三），明确了市场监督管理管理部门对于企业的开业、变更和注销登记的监督管理细则。被申请人回复无法联系到被举报人，被举报人已不在注册地址从事任何经营活动，但是被举报人在电商平台的注册店铺却在进行经营活动，被举报人也未曾办理迁出或更改经营地址。说明被举报人违反了《中华人民共和国企业法人登记管理条例》第二十九条（二），而被申请人也没有履行《中华人民共和国企业法人登记管理条例》第十七条的的监管职责。同时《中华人民共和国企业法人登记管理条例施行细则》第六十条（三）也明确了市场监督管理局对监管企业此违法行为的处理规则。企业找不到人就是营业执照变更、异地经营但是没有进行变更登记，被申请人在监管什么?监管职责哪里去了?申请人在12315 上提交的举报材料里有明确的被举报人的店铺各种信息、店铺联系方式等，被举报人至今仍然在网购平台上继续销售。被申请人完全可以通过网络店铺联系商家，甚至是举报材料里面快递照片的被举报人发货电话联系被举报人。难道被申请人是坐在办公室拍脑袋复制粘贴的吗?同时《企业经营异常名录管理暂行办法》第九条：工商行政管理部门在依法履职过程中通过登记的住所或者经营场所无法与企业取得联系的，应当自查实之日起 10 个工作日内作出将其列入经营异常名录的决定，并予以公示。但是截至今日，经国家企业信用公示网（http：//www.gsxt.gov.cn/index.html）查询得知被申请人并没有履行该规定的职责，并未对本次案件进行列异和公示。并且，依据《市场监督管理行政处罚程序暂行规定》第四十三条：有下列情形之一的，经市场监督管理部门负责人批准，中止案件调查：（四）因当事人下落不明致使案件暂时无法调查的；中止调查的原因消除后，应当立即恢复案件调查。所以，被申请人以找不到人终止案件调查是程序违法。找不到人应依据《市场监督管理行政处罚程序暂行规定》第四十二条向平台经营者所在地出具协助调查函，要求提供真实的联系方式和经营地，然后继续恢复调查。依据《中华人民共和国企业法人登记管理条例施行细则》第四十九条 对有下列行为的企业和经营单位，登记主管机关作出如下处罚，可以单处，也可以并处：（三擅自改变主要登记事项，不按规定办理变更登记的，予以警告，没收非法所得，处以非法所得额3倍以下的罚款，但最高不超过3万元，没有非法所得的，处以1万元以下的罚款，并限期办理变更登记；逾期不办理的，责令停业整顿或者扣缴营业执照；情节严重的，吊销营业执照。超出经营期限从事经营活动的，视为无照经营，按照本条第一项规定处理……对擅自改变经营地址找不到人的企业进行行政处罚。申请人认为被申请人未履行《市场监督管理投诉举报处理暂行办法》第五条、《市场监督管理行政处罚程序暂行规定》第十八条中的的法定职责。被申请人作为市场监督管理机关未全面、公平、公开、公正履行职责。</w:t>
      </w:r>
    </w:p>
    <w:p>
      <w:pPr>
        <w:pStyle w:val="3"/>
        <w:ind w:firstLine="640" w:firstLineChars="200"/>
        <w:rPr>
          <w:rFonts w:hint="eastAsia" w:ascii="仿宋" w:hAnsi="仿宋" w:eastAsia="仿宋" w:cs="仿宋"/>
          <w:u w:val="none"/>
          <w:lang w:val="en-US" w:eastAsia="zh-CN"/>
        </w:rPr>
      </w:pPr>
      <w:r>
        <w:rPr>
          <w:rFonts w:hint="eastAsia" w:ascii="仿宋" w:hAnsi="仿宋" w:eastAsia="仿宋" w:cs="仿宋"/>
          <w:u w:val="none"/>
          <w:lang w:val="en-US" w:eastAsia="zh-CN"/>
        </w:rPr>
        <w:t>二、依据《市场监督管理行政处罚程序暂行规定》第十七条中规定，立案与否需要市场监督管理局负责人做出决定，有相应审批程序。但被申请人既未提供不予立案的审批表，也未提供市场监督管理局负责人签署的不予立案凭证，申请人认为，被申请人此行为违反了《暂行规定》第十七条的要求。</w:t>
      </w:r>
    </w:p>
    <w:p>
      <w:pPr>
        <w:pStyle w:val="3"/>
        <w:ind w:firstLine="640" w:firstLineChars="200"/>
        <w:rPr>
          <w:rFonts w:hint="eastAsia" w:ascii="仿宋" w:hAnsi="仿宋" w:eastAsia="仿宋" w:cs="仿宋"/>
          <w:u w:val="none"/>
          <w:lang w:val="en-US" w:eastAsia="zh-CN"/>
        </w:rPr>
      </w:pPr>
      <w:r>
        <w:rPr>
          <w:rFonts w:hint="eastAsia" w:ascii="仿宋" w:hAnsi="仿宋" w:eastAsia="仿宋" w:cs="仿宋"/>
          <w:u w:val="none"/>
          <w:lang w:val="en-US" w:eastAsia="zh-CN"/>
        </w:rPr>
        <w:t>三、被申请人避重就轻，没有调查和回复申请人举报的全部问题，未全面履行《市场监督管理行政处罚程序暂行规定》和《市场监督管理投诉举报处理暂行办法》里的公平公正全面流程合法的原则本人具有行政诉讼该案件的资格（利害关系）依据：</w:t>
      </w:r>
    </w:p>
    <w:p>
      <w:pPr>
        <w:pStyle w:val="3"/>
        <w:ind w:firstLine="640" w:firstLineChars="200"/>
        <w:rPr>
          <w:rFonts w:hint="eastAsia" w:ascii="仿宋" w:hAnsi="仿宋" w:eastAsia="仿宋" w:cs="仿宋"/>
          <w:u w:val="none"/>
          <w:lang w:val="en-US" w:eastAsia="zh-CN"/>
        </w:rPr>
      </w:pPr>
      <w:r>
        <w:rPr>
          <w:rFonts w:hint="eastAsia" w:ascii="仿宋" w:hAnsi="仿宋" w:eastAsia="仿宋" w:cs="仿宋"/>
          <w:u w:val="none"/>
          <w:lang w:val="en-US" w:eastAsia="zh-CN"/>
        </w:rPr>
        <w:t>一、最高人民法院关于举报人对行政机关被举报事项作出处理或者不作为行为不服是否具有行政复议申请人资格问题的答复（[2013]行他字第14号 2014年3月14日）；</w:t>
      </w:r>
    </w:p>
    <w:p>
      <w:pPr>
        <w:pStyle w:val="3"/>
        <w:ind w:firstLine="640" w:firstLineChars="200"/>
        <w:rPr>
          <w:rFonts w:hint="eastAsia" w:ascii="仿宋" w:hAnsi="仿宋" w:eastAsia="仿宋" w:cs="仿宋"/>
          <w:u w:val="none"/>
          <w:lang w:val="en-US" w:eastAsia="zh-CN"/>
        </w:rPr>
      </w:pPr>
      <w:r>
        <w:rPr>
          <w:rFonts w:hint="eastAsia" w:ascii="仿宋" w:hAnsi="仿宋" w:eastAsia="仿宋" w:cs="仿宋"/>
          <w:u w:val="none"/>
          <w:lang w:val="en-US" w:eastAsia="zh-CN"/>
        </w:rPr>
        <w:t>二、最高人民法院关于适用《中华人民共和国行政诉讼法》的解释（法释（2018）1号）第十二条有下列情形之一的，属于行政诉讼法第二十五条第一款规定的“与行政行为有利害关系”：（五）为维护自身合法权益向行政机关投诉，具有处理投诉职责的行政机关作出或者未作出处理的；</w:t>
      </w:r>
    </w:p>
    <w:p>
      <w:pPr>
        <w:pStyle w:val="3"/>
        <w:ind w:firstLine="640" w:firstLineChars="200"/>
        <w:rPr>
          <w:rFonts w:hint="eastAsia" w:ascii="仿宋" w:hAnsi="仿宋" w:eastAsia="仿宋" w:cs="仿宋"/>
          <w:u w:val="none"/>
          <w:lang w:val="en-US" w:eastAsia="zh-CN"/>
        </w:rPr>
      </w:pPr>
      <w:r>
        <w:rPr>
          <w:rFonts w:hint="eastAsia" w:ascii="仿宋" w:hAnsi="仿宋" w:eastAsia="仿宋" w:cs="仿宋"/>
          <w:u w:val="none"/>
          <w:lang w:val="en-US" w:eastAsia="zh-CN"/>
        </w:rPr>
        <w:t>三、最高人民法院指导案例77号罗镕荣诉吉安市物价局物价行政处理案（最高人民法院审判委员会讨论通过 2016年12月28日发布）；</w:t>
      </w:r>
    </w:p>
    <w:p>
      <w:pPr>
        <w:pStyle w:val="3"/>
        <w:ind w:firstLine="640" w:firstLineChars="200"/>
        <w:rPr>
          <w:rFonts w:hint="eastAsia" w:ascii="仿宋" w:hAnsi="仿宋" w:eastAsia="仿宋" w:cs="仿宋"/>
          <w:u w:val="none"/>
          <w:lang w:val="en-US" w:eastAsia="zh-CN"/>
        </w:rPr>
      </w:pPr>
      <w:r>
        <w:rPr>
          <w:rFonts w:hint="eastAsia" w:ascii="仿宋" w:hAnsi="仿宋" w:eastAsia="仿宋" w:cs="仿宋"/>
          <w:u w:val="none"/>
          <w:lang w:val="en-US" w:eastAsia="zh-CN"/>
        </w:rPr>
        <w:t>四、依据《中华人民共和国产品质量法》、《中华人民共和国消费者权益保护法》，申请人的合法权益遭到了损害。被申请人关于投诉举报一案未依法办案，行政不作为导致申请人购买到不合格的商品、而且通过网络购物，平台已经把申请人的金钱打到了被举报人账上，已过了网络的7天无理由退款时间，导致不能退货。合法权益得不到保障。</w:t>
      </w:r>
    </w:p>
    <w:p>
      <w:pPr>
        <w:pStyle w:val="3"/>
        <w:ind w:firstLine="640" w:firstLineChars="200"/>
        <w:rPr>
          <w:rFonts w:hint="eastAsia" w:ascii="仿宋" w:hAnsi="仿宋" w:eastAsia="仿宋" w:cs="仿宋"/>
          <w:u w:val="none"/>
          <w:lang w:val="en-US" w:eastAsia="zh-CN"/>
        </w:rPr>
      </w:pPr>
      <w:r>
        <w:rPr>
          <w:rFonts w:hint="eastAsia" w:ascii="仿宋" w:hAnsi="仿宋" w:eastAsia="仿宋" w:cs="仿宋"/>
          <w:u w:val="none"/>
          <w:lang w:val="en-US" w:eastAsia="zh-CN"/>
        </w:rPr>
        <w:t>1、无任何法律依据要求申请人提供身份证原件。</w:t>
      </w:r>
    </w:p>
    <w:p>
      <w:pPr>
        <w:pStyle w:val="3"/>
        <w:ind w:firstLine="640" w:firstLineChars="200"/>
        <w:rPr>
          <w:rFonts w:hint="eastAsia" w:ascii="仿宋" w:hAnsi="仿宋" w:eastAsia="仿宋" w:cs="仿宋"/>
          <w:u w:val="none"/>
          <w:lang w:val="en-US" w:eastAsia="zh-CN"/>
        </w:rPr>
      </w:pPr>
      <w:r>
        <w:rPr>
          <w:rFonts w:hint="eastAsia" w:ascii="仿宋" w:hAnsi="仿宋" w:eastAsia="仿宋" w:cs="仿宋"/>
          <w:u w:val="none"/>
          <w:lang w:val="en-US" w:eastAsia="zh-CN"/>
        </w:rPr>
        <w:t>2、因被申请人未告知本人因当向何机关何时进行复议，因此本人现提出复议符合规定。</w:t>
      </w:r>
    </w:p>
    <w:p>
      <w:pPr>
        <w:pStyle w:val="3"/>
        <w:ind w:firstLine="640" w:firstLineChars="200"/>
        <w:rPr>
          <w:rFonts w:hint="eastAsia" w:ascii="仿宋" w:hAnsi="仿宋" w:eastAsia="仿宋" w:cs="仿宋"/>
          <w:u w:val="none"/>
          <w:lang w:val="en-US" w:eastAsia="zh-CN"/>
        </w:rPr>
      </w:pPr>
      <w:r>
        <w:rPr>
          <w:rFonts w:hint="eastAsia" w:ascii="仿宋" w:hAnsi="仿宋" w:eastAsia="仿宋" w:cs="仿宋"/>
          <w:u w:val="none"/>
          <w:lang w:val="en-US" w:eastAsia="zh-CN"/>
        </w:rPr>
        <w:t>请求复议机关本着合法、公平、公正原则处理申请人的复议请求，请贵处依据《中华人民共和国行政复议法》第二十八条（三）决定撤销、变更或者确认被申请人具体行政行为违法，依据《中华人民共和国行政复议法》第二十八条（二）责令被申请人在期限内履行法定职责。</w:t>
      </w:r>
    </w:p>
    <w:p>
      <w:pPr>
        <w:pStyle w:val="3"/>
        <w:ind w:firstLine="640" w:firstLineChars="200"/>
        <w:rPr>
          <w:rFonts w:hint="eastAsia" w:ascii="黑体" w:hAnsi="黑体" w:eastAsia="黑体" w:cs="宋体"/>
          <w:u w:val="none"/>
        </w:rPr>
      </w:pPr>
      <w:r>
        <w:rPr>
          <w:rFonts w:hint="eastAsia" w:ascii="黑体" w:hAnsi="黑体" w:eastAsia="黑体" w:cs="宋体"/>
          <w:u w:val="none"/>
        </w:rPr>
        <w:t>被申请人答复称：</w:t>
      </w:r>
    </w:p>
    <w:p>
      <w:pPr>
        <w:pStyle w:val="11"/>
        <w:spacing w:line="360" w:lineRule="auto"/>
        <w:ind w:firstLine="640" w:firstLineChars="200"/>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一、被申请人依法对申请人的举报事项进行核查处理和答复情况</w:t>
      </w:r>
    </w:p>
    <w:p>
      <w:pPr>
        <w:pStyle w:val="11"/>
        <w:spacing w:line="360" w:lineRule="auto"/>
        <w:ind w:firstLine="640" w:firstLineChars="200"/>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被申请人于2021年8月16日收到申请人于全国12315平台的举报。申请人称在广州市花都区狮岭某某工厂经营的网店购买了集成吊顶灯，该灯涉嫌属于不符合国家安全标准、以次充好、无认证的产品，要求查处违法行为。</w:t>
      </w:r>
    </w:p>
    <w:p>
      <w:pPr>
        <w:pStyle w:val="11"/>
        <w:spacing w:line="360" w:lineRule="auto"/>
        <w:ind w:firstLine="640" w:firstLineChars="200"/>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被申请人执法人员于2021年8月27日到被举报人登记经营地址广州市花都区狮岭镇某某村进行执法检查。现场检查确认该地址未发现存在广州市花都区狮岭某某工厂的经营迹象，无法通过该地址与该企业取得联系。被举报人的登记电话无法接通。被申请人基于上述调查核实的情况，于2021年8月27日决定中止调查，不予立案，并于同日通过全国12315平台回复举报人龙某。被申请人又于2021年9月2日通过邮寄信函书面答复申请人。同时被申请人依据职权发现该企业未在注册地址经营，无法通过住所或经营场所无法联系，于2021年9月1日将其列入经营异常名录并在企业信息公示系统上公示。</w:t>
      </w:r>
    </w:p>
    <w:p>
      <w:pPr>
        <w:pStyle w:val="11"/>
        <w:spacing w:line="360" w:lineRule="auto"/>
        <w:ind w:firstLine="640" w:firstLineChars="200"/>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二、被申请人举报处理和答复认定事实清楚、适用法律正确和程序合法</w:t>
      </w:r>
    </w:p>
    <w:p>
      <w:pPr>
        <w:pStyle w:val="11"/>
        <w:spacing w:line="360" w:lineRule="auto"/>
        <w:ind w:firstLine="640" w:firstLineChars="200"/>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1.被申请人在2021年8月16日收到申请人的举报材料后，依法作了核查处理，于2021年8月27日依法作出不予立案决定，并于2021年8月27日告知申请人是否立案的情况，程序符合《市场监督管理投诉举报处理暂行办法》第二十三条和第三十一条关于核查期限和是否立案答复期限的规定。</w:t>
      </w:r>
    </w:p>
    <w:p>
      <w:pPr>
        <w:pStyle w:val="11"/>
        <w:spacing w:line="360" w:lineRule="auto"/>
        <w:ind w:firstLine="640" w:firstLineChars="200"/>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2.根据《市场监督管理投诉举报处理暂行办法》第二十七条第二款的规定，对平台内经营者的举报，由其实际经营地县级以上市场监督管理部门处理。根据《市场监督管理行政处罚程序暂行规定》第九条第二款规定，平台内经营者的违法行为由其实际经营地县级以上市场监督管理部门管辖。被申请人是被举报人的登记管理机关，该企业的住所在被申请人的辖区内，其实际经营地因网络经营的特点及无法联系该企业等原因无法核实。</w:t>
      </w:r>
    </w:p>
    <w:p>
      <w:pPr>
        <w:pStyle w:val="11"/>
        <w:spacing w:line="360" w:lineRule="auto"/>
        <w:ind w:firstLine="640" w:firstLineChars="200"/>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3.被申请人认为，立案需符合一定的条件。要有证据初步证明被举报人存在违反市场监督管理法律、法规、规章的行为，并且依法应当给予行政处罚的情况才予以立案处理。因无法联系被举报人和无法找到其实际经营地，对举报人提出的该企业销售的产品是否无厂名，是否以次充好，是否经国家强制性产品认证以及被举报人是否属实都无法核实，不具备立案条件。依据《行政处罚法》第五条第二款“设定和实施行政处罚必须以事实为依据，与违法行为的事实、性质、情节以及社会危害程度相当”和第四十条“公民、法人或者其他组织违反行政管理秩序的行为，依法应当给予行政处罚的，行政机关必须查明事实；违法事实不清、证据不足的，不得给予行政处罚”的规定，被申请人决定对广州市花都区狮岭某某工厂不予立案的决定于法有据。</w:t>
      </w:r>
    </w:p>
    <w:p>
      <w:pPr>
        <w:pStyle w:val="11"/>
        <w:spacing w:line="360" w:lineRule="auto"/>
        <w:ind w:firstLine="640" w:firstLineChars="200"/>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4.被申请人作为企业的登记管理机关，根据《企业经营异常名录管理暂行办法》《企业信息公示暂行条例》等法律法规的规定，已将无法通过住所联系的企业列入了经营异常名录和依法作出吊销的行政处罚，并已作出了企业信用信息公示，已履行了相关监管职责。被申请人作为产品质量的监管部门，已对举报人反映的问题依法调查核实并回复了举报人调查结果，也已履行了相关监管职责。</w:t>
      </w:r>
    </w:p>
    <w:p>
      <w:pPr>
        <w:pStyle w:val="11"/>
        <w:spacing w:line="360" w:lineRule="auto"/>
        <w:ind w:firstLine="640" w:firstLineChars="200"/>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三、申请人不具备申请行政复议资格</w:t>
      </w:r>
    </w:p>
    <w:p>
      <w:pPr>
        <w:pStyle w:val="11"/>
        <w:spacing w:line="360" w:lineRule="auto"/>
        <w:ind w:firstLine="640" w:firstLineChars="200"/>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被申请人对申请人的举报事项已进行核实处理，并已告知是否立案，申请人现提出行政复议请求撤销和责令重新作出被申请人的处理决定。这涉及申请人是否具有请求权，可从相关法律、法规或者规章是否规定了投诉举报的请求权和该请求权的规范目的是否在于保障投诉举报人自身的合法权益来判断。</w:t>
      </w:r>
    </w:p>
    <w:p>
      <w:pPr>
        <w:pStyle w:val="11"/>
        <w:spacing w:line="360" w:lineRule="auto"/>
        <w:ind w:firstLine="640" w:firstLineChars="200"/>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本案对举报人反映的问题处理适用实体法依据是《中华人民共和国认证认可条例》和《中华人民共和国产品质量法》，《中华人民共和国认证认可条例》第五十五条规定：“任何单位和个人对认证认可违法行为，有权向国务院认证认可监督管理部门和地方认证监督管理部门举报。国务院认证认可监督管理部门和地方认证监督管理部门应当及时调查处理，并为举报人保密。”以及《中华人民共和国产品质量法》第二十二条规定：“消费者有权就产品质量问题，向产品的生产者、销售者查询；向市场监督管理部门及有关部门申诉，接受申诉的部门应当负责处理。”在此，法律赋予了消费者的投诉举报权，但并未规定其可以请求监督管理部门给予被投诉举报人行政处罚或者责令退赔的权利。</w:t>
      </w:r>
    </w:p>
    <w:p>
      <w:pPr>
        <w:pStyle w:val="11"/>
        <w:spacing w:line="360" w:lineRule="auto"/>
        <w:ind w:firstLine="640" w:firstLineChars="200"/>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投诉举报的作用在于促使行政机关启动行政调查权，行政机关依法启动行政调查权后，在案件办理中应当依照法律、法规或者规章的规定而不是依申请人的要求调查取证、认定事实、适用法律。如果投诉举报人对行政机关是否查处或查处结果不服，其提起行政复议或行政诉讼目的是为他人施加负担，要求作成或者加重对他人的处罚，则应依赖于法律、法规或者规章是否规定了为他人施加负担的请求权。</w:t>
      </w:r>
    </w:p>
    <w:p>
      <w:pPr>
        <w:pStyle w:val="11"/>
        <w:spacing w:line="360" w:lineRule="auto"/>
        <w:ind w:firstLine="640" w:firstLineChars="200"/>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因此被申请人依法启动行政调查权以及如何调查取证、认定事实以及适用法律与申请人不具有法律上的利害关系。被申请人对申请人的举报已依法调查核实，并将不予立案的处理决定告知了申请人，被申请人已履行了法定职责，保障了申请人的举报权。申请人声称购买被举报产品，是受害人，为维护自身的利益而举报，因而处理结果与申请人具有法律上的利害关系。这种说法于法无据，是将反射性利益混同于行政法上保护的利益。被申请人对投诉举报处理的的作用并非直接保障举报人自身的合法权益，而是在于维护公共利益。不能认定申请人与被申请人的不予立案处理决定具有法律上的利害关系，申请人的行政复议申请不符合《中华人民共和国行政复议法实施条例》第二十八条第（二）项的规定，不具备申请行政复议的资格。</w:t>
      </w:r>
    </w:p>
    <w:p>
      <w:pPr>
        <w:pStyle w:val="11"/>
        <w:spacing w:line="360" w:lineRule="auto"/>
        <w:ind w:firstLine="640" w:firstLineChars="200"/>
        <w:rPr>
          <w:rFonts w:hint="eastAsia" w:ascii="仿宋" w:hAnsi="仿宋" w:eastAsia="仿宋" w:cs="仿宋"/>
          <w:spacing w:val="4"/>
          <w:sz w:val="32"/>
          <w:szCs w:val="32"/>
          <w:lang w:val="en-US" w:eastAsia="zh-CN"/>
        </w:rPr>
      </w:pPr>
      <w:r>
        <w:rPr>
          <w:rFonts w:hint="eastAsia" w:ascii="仿宋" w:hAnsi="仿宋" w:eastAsia="仿宋" w:cs="仿宋"/>
          <w:color w:val="000000"/>
          <w:sz w:val="32"/>
          <w:szCs w:val="32"/>
          <w:lang w:val="en-US" w:eastAsia="zh-CN"/>
        </w:rPr>
        <w:t>综上所述，被申请人在处理举报过程中，积极履行法定职责，在规定期限内作出不予立案决定并告知申请人，以上事实充分证明被申请人不存在申请人复议中所称的问题。为维护行政执法权的权威性和严肃性，请求广州市花都区人民政府维持被申请人的处理决定并驳回申请人的请求。</w:t>
      </w:r>
      <w:r>
        <w:rPr>
          <w:rFonts w:hint="eastAsia" w:ascii="仿宋" w:hAnsi="仿宋" w:eastAsia="仿宋" w:cs="仿宋"/>
          <w:spacing w:val="4"/>
          <w:sz w:val="32"/>
          <w:szCs w:val="32"/>
          <w:lang w:val="en-US" w:eastAsia="zh-CN"/>
        </w:rPr>
        <w:t xml:space="preserve">   </w:t>
      </w:r>
    </w:p>
    <w:p>
      <w:pPr>
        <w:pStyle w:val="3"/>
        <w:ind w:firstLine="640" w:firstLineChars="200"/>
        <w:rPr>
          <w:rFonts w:ascii="黑体" w:hAnsi="黑体" w:eastAsia="黑体" w:cs="宋体"/>
          <w:highlight w:val="none"/>
          <w:u w:val="none"/>
        </w:rPr>
      </w:pPr>
      <w:r>
        <w:rPr>
          <w:rFonts w:hint="eastAsia" w:ascii="黑体" w:hAnsi="黑体" w:eastAsia="黑体" w:cs="宋体"/>
          <w:highlight w:val="none"/>
          <w:u w:val="none"/>
        </w:rPr>
        <w:t>本府查明：</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2021年8月16日，被申请人于收到申请人在全国12315平台登记的举报线索，反映被举报人广州市花都区狮岭某某工厂（以下简称“某某工厂”）经营的网店销售的集成吊顶灯不符合国家安全标准、以次充好、没有3C认证等问题，要求被申请人进行立案调查。8月27日，被申请人到某某工厂登记的住所</w:t>
      </w:r>
      <w:r>
        <w:rPr>
          <w:rFonts w:hint="eastAsia" w:ascii="仿宋" w:hAnsi="仿宋" w:eastAsia="仿宋" w:cs="仿宋"/>
          <w:sz w:val="32"/>
          <w:szCs w:val="32"/>
          <w:lang w:eastAsia="zh-CN"/>
        </w:rPr>
        <w:t>广州市花都区狮岭镇</w:t>
      </w:r>
      <w:r>
        <w:rPr>
          <w:rFonts w:hint="eastAsia" w:ascii="仿宋" w:hAnsi="仿宋" w:eastAsia="仿宋" w:cs="仿宋"/>
          <w:sz w:val="32"/>
          <w:szCs w:val="32"/>
          <w:lang w:val="en-US" w:eastAsia="zh-CN"/>
        </w:rPr>
        <w:t>某某</w:t>
      </w:r>
      <w:r>
        <w:rPr>
          <w:rFonts w:hint="eastAsia" w:ascii="仿宋" w:hAnsi="仿宋" w:eastAsia="仿宋" w:cs="仿宋"/>
          <w:sz w:val="32"/>
          <w:szCs w:val="32"/>
          <w:lang w:eastAsia="zh-CN"/>
        </w:rPr>
        <w:t>村</w:t>
      </w:r>
      <w:r>
        <w:rPr>
          <w:rFonts w:hint="eastAsia" w:ascii="仿宋" w:hAnsi="仿宋" w:eastAsia="仿宋" w:cs="仿宋"/>
          <w:color w:val="000000"/>
          <w:sz w:val="32"/>
          <w:szCs w:val="32"/>
          <w:lang w:val="en-US" w:eastAsia="zh-CN"/>
        </w:rPr>
        <w:t>进行现场核查，</w:t>
      </w:r>
      <w:r>
        <w:rPr>
          <w:rFonts w:hint="eastAsia" w:ascii="仿宋" w:hAnsi="仿宋" w:eastAsia="仿宋" w:cs="仿宋"/>
          <w:sz w:val="32"/>
          <w:szCs w:val="32"/>
          <w:lang w:eastAsia="zh-CN"/>
        </w:rPr>
        <w:t>未发现</w:t>
      </w:r>
      <w:r>
        <w:rPr>
          <w:rFonts w:hint="eastAsia" w:ascii="仿宋" w:hAnsi="仿宋" w:eastAsia="仿宋" w:cs="仿宋"/>
          <w:sz w:val="32"/>
          <w:szCs w:val="32"/>
          <w:lang w:val="en-US" w:eastAsia="zh-CN"/>
        </w:rPr>
        <w:t>某某工厂</w:t>
      </w:r>
      <w:r>
        <w:rPr>
          <w:rFonts w:hint="eastAsia" w:ascii="仿宋" w:hAnsi="仿宋" w:eastAsia="仿宋" w:cs="仿宋"/>
          <w:sz w:val="32"/>
          <w:szCs w:val="32"/>
          <w:lang w:val="en-US" w:eastAsia="zh-CN"/>
        </w:rPr>
        <w:t>的</w:t>
      </w:r>
      <w:r>
        <w:rPr>
          <w:rFonts w:hint="eastAsia" w:ascii="仿宋" w:hAnsi="仿宋" w:eastAsia="仿宋" w:cs="仿宋"/>
          <w:sz w:val="32"/>
          <w:szCs w:val="32"/>
          <w:lang w:eastAsia="zh-CN"/>
        </w:rPr>
        <w:t>经营迹象，无法通过该地址与</w:t>
      </w:r>
      <w:r>
        <w:rPr>
          <w:rFonts w:hint="eastAsia" w:ascii="仿宋" w:hAnsi="仿宋" w:eastAsia="仿宋" w:cs="仿宋"/>
          <w:sz w:val="32"/>
          <w:szCs w:val="32"/>
          <w:lang w:val="en-US" w:eastAsia="zh-CN"/>
        </w:rPr>
        <w:t>其</w:t>
      </w:r>
      <w:r>
        <w:rPr>
          <w:rFonts w:hint="eastAsia" w:ascii="仿宋" w:hAnsi="仿宋" w:eastAsia="仿宋" w:cs="仿宋"/>
          <w:sz w:val="32"/>
          <w:szCs w:val="32"/>
          <w:lang w:eastAsia="zh-CN"/>
        </w:rPr>
        <w:t>取得联系，</w:t>
      </w:r>
      <w:r>
        <w:rPr>
          <w:rFonts w:hint="eastAsia" w:ascii="仿宋" w:hAnsi="仿宋" w:eastAsia="仿宋" w:cs="仿宋"/>
          <w:sz w:val="32"/>
          <w:szCs w:val="32"/>
          <w:lang w:val="en-US" w:eastAsia="zh-CN"/>
        </w:rPr>
        <w:t>拨打其登记电话也无人接听</w:t>
      </w:r>
      <w:r>
        <w:rPr>
          <w:rFonts w:hint="eastAsia" w:ascii="仿宋" w:hAnsi="仿宋" w:eastAsia="仿宋" w:cs="仿宋"/>
          <w:sz w:val="32"/>
          <w:szCs w:val="32"/>
          <w:lang w:eastAsia="zh-CN"/>
        </w:rPr>
        <w:t>。</w:t>
      </w:r>
      <w:r>
        <w:rPr>
          <w:rFonts w:hint="eastAsia" w:ascii="仿宋" w:hAnsi="仿宋" w:eastAsia="仿宋" w:cs="仿宋"/>
          <w:color w:val="000000"/>
          <w:sz w:val="32"/>
          <w:szCs w:val="32"/>
          <w:lang w:val="en-US" w:eastAsia="zh-CN"/>
        </w:rPr>
        <w:t>2021年8月27日，被申请人认为无法与某某工厂取得联系，举报线索关键证据涉及产品实物，无法仅通过网络取证，作出中止调查、不予立案决定，并于同日在全国12315平台答复申请人，告知申请人核查情况以及不予立案的决定。</w:t>
      </w:r>
      <w:r>
        <w:rPr>
          <w:rFonts w:hint="eastAsia" w:ascii="仿宋" w:hAnsi="仿宋" w:eastAsia="仿宋" w:cs="仿宋"/>
          <w:sz w:val="32"/>
          <w:szCs w:val="32"/>
          <w:lang w:val="en-US" w:eastAsia="zh-CN"/>
        </w:rPr>
        <w:t>2021年9月1日</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被申请人将</w:t>
      </w:r>
      <w:r>
        <w:rPr>
          <w:rFonts w:hint="eastAsia" w:ascii="仿宋" w:hAnsi="仿宋" w:eastAsia="仿宋" w:cs="仿宋"/>
          <w:color w:val="000000"/>
          <w:sz w:val="32"/>
          <w:szCs w:val="32"/>
          <w:lang w:val="en-US" w:eastAsia="zh-CN"/>
        </w:rPr>
        <w:t>某某工厂</w:t>
      </w:r>
      <w:r>
        <w:rPr>
          <w:rFonts w:hint="eastAsia" w:ascii="仿宋" w:hAnsi="仿宋" w:eastAsia="仿宋" w:cs="仿宋"/>
          <w:sz w:val="32"/>
          <w:szCs w:val="32"/>
          <w:lang w:val="en-US" w:eastAsia="zh-CN"/>
        </w:rPr>
        <w:t>列入经营异常名录并在企业信息公示系统上公示。2021年9月2日，被申请人通过邮寄信函书面答复申请人。</w:t>
      </w:r>
    </w:p>
    <w:p>
      <w:pPr>
        <w:pStyle w:val="11"/>
        <w:keepNext w:val="0"/>
        <w:keepLines w:val="0"/>
        <w:pageBreakBefore w:val="0"/>
        <w:kinsoku/>
        <w:wordWrap/>
        <w:overflowPunct/>
        <w:topLinePunct w:val="0"/>
        <w:autoSpaceDE/>
        <w:autoSpaceDN/>
        <w:bidi w:val="0"/>
        <w:adjustRightInd/>
        <w:snapToGrid/>
        <w:spacing w:line="240" w:lineRule="auto"/>
        <w:ind w:firstLine="640"/>
        <w:textAlignment w:val="auto"/>
        <w:rPr>
          <w:rFonts w:hAnsi="宋体" w:cs="宋体"/>
          <w:u w:val="none"/>
        </w:rPr>
      </w:pPr>
      <w:r>
        <w:rPr>
          <w:rFonts w:hint="eastAsia" w:ascii="仿宋" w:hAnsi="仿宋" w:eastAsia="仿宋" w:cs="仿宋"/>
          <w:spacing w:val="4"/>
          <w:sz w:val="32"/>
          <w:szCs w:val="32"/>
          <w:lang w:val="en-US" w:eastAsia="zh-CN"/>
        </w:rPr>
        <w:t>以上事实有</w:t>
      </w:r>
      <w:r>
        <w:rPr>
          <w:rFonts w:hint="eastAsia" w:ascii="仿宋" w:hAnsi="仿宋" w:eastAsia="仿宋" w:cs="仿宋"/>
          <w:color w:val="000000"/>
          <w:sz w:val="32"/>
          <w:szCs w:val="32"/>
          <w:lang w:val="en-US" w:eastAsia="zh-CN"/>
        </w:rPr>
        <w:t>广东市场监管投诉举报平台举报单（编号：1440114002021081645142298）及举报材料、商事主体实地核查记录表、现场检查笔录及照片、不予立案审批表、关于龙某举报广州市花都区狮岭某某工厂涉嫌违法事项的答复、国家企业信息公示平台查询截图、申请人身份证复印件</w:t>
      </w:r>
      <w:r>
        <w:rPr>
          <w:rFonts w:hint="eastAsia" w:ascii="仿宋" w:hAnsi="仿宋" w:eastAsia="仿宋" w:cs="仿宋"/>
          <w:spacing w:val="4"/>
          <w:sz w:val="32"/>
          <w:szCs w:val="32"/>
          <w:lang w:val="en-US" w:eastAsia="zh-CN"/>
        </w:rPr>
        <w:t>等相关证据为证。</w:t>
      </w:r>
      <w:r>
        <w:rPr>
          <w:rFonts w:hint="eastAsia" w:ascii="仿宋" w:hAnsi="仿宋" w:eastAsia="仿宋" w:cs="仿宋"/>
          <w:spacing w:val="4"/>
          <w:sz w:val="32"/>
          <w:szCs w:val="32"/>
        </w:rPr>
        <w:t xml:space="preserve">     </w:t>
      </w:r>
      <w:r>
        <w:rPr>
          <w:rFonts w:hint="eastAsia" w:ascii="仿宋_GB2312" w:hAnsi="仿宋" w:eastAsia="仿宋_GB2312"/>
          <w:spacing w:val="4"/>
          <w:sz w:val="32"/>
          <w:szCs w:val="32"/>
        </w:rPr>
        <w:t xml:space="preserve">                                                                                                                                                                                                                                                                                                                                                                                                                                                                                                                                                                                                                                                                                                                                                                                                                                                                                                                                                                                                                                                                                                                                                                                                                                                                                                                                                                                                                                                                                                                                                                                                                                                                                                                                                                                                                                                                                                                                                                                                                                                                                                                                                                                                                                                                                                                                                                                                                                      </w:t>
      </w:r>
      <w:r>
        <w:rPr>
          <w:rFonts w:hint="eastAsia" w:ascii="仿宋" w:hAnsi="仿宋" w:eastAsia="仿宋" w:cs="仿宋_GB2312"/>
          <w:color w:val="000000"/>
          <w:sz w:val="32"/>
          <w:szCs w:val="32"/>
        </w:rPr>
        <w:t xml:space="preserve"> </w:t>
      </w:r>
    </w:p>
    <w:p>
      <w:pPr>
        <w:pStyle w:val="3"/>
        <w:ind w:firstLine="640" w:firstLineChars="200"/>
        <w:rPr>
          <w:rFonts w:ascii="黑体" w:hAnsi="黑体" w:eastAsia="黑体" w:cs="宋体"/>
          <w:u w:val="none"/>
        </w:rPr>
      </w:pPr>
      <w:r>
        <w:rPr>
          <w:rFonts w:hint="eastAsia" w:ascii="黑体" w:hAnsi="黑体" w:eastAsia="黑体" w:cs="宋体"/>
          <w:u w:val="none"/>
        </w:rPr>
        <w:t>本府认为：</w:t>
      </w:r>
    </w:p>
    <w:p>
      <w:pPr>
        <w:keepNext w:val="0"/>
        <w:keepLines w:val="0"/>
        <w:pageBreakBefore w:val="0"/>
        <w:widowControl w:val="0"/>
        <w:kinsoku/>
        <w:wordWrap/>
        <w:overflowPunct/>
        <w:topLinePunct w:val="0"/>
        <w:autoSpaceDE/>
        <w:autoSpaceDN/>
        <w:bidi w:val="0"/>
        <w:adjustRightInd/>
        <w:snapToGrid/>
        <w:spacing w:line="240" w:lineRule="auto"/>
        <w:ind w:firstLine="656" w:firstLineChars="200"/>
        <w:textAlignment w:val="auto"/>
        <w:rPr>
          <w:rFonts w:hint="eastAsia" w:ascii="仿宋" w:hAnsi="仿宋" w:eastAsia="仿宋" w:cs="仿宋"/>
          <w:color w:val="000000"/>
          <w:sz w:val="32"/>
          <w:szCs w:val="32"/>
          <w:lang w:val="en-US" w:eastAsia="zh-CN"/>
        </w:rPr>
      </w:pPr>
      <w:r>
        <w:rPr>
          <w:rFonts w:hint="eastAsia" w:ascii="仿宋" w:hAnsi="仿宋" w:eastAsia="仿宋" w:cs="仿宋"/>
          <w:spacing w:val="4"/>
          <w:sz w:val="32"/>
          <w:szCs w:val="32"/>
          <w:lang w:val="en-US" w:eastAsia="zh-CN"/>
        </w:rPr>
        <w:t>根据</w:t>
      </w:r>
      <w:r>
        <w:rPr>
          <w:rFonts w:hint="eastAsia" w:ascii="仿宋" w:hAnsi="仿宋" w:eastAsia="仿宋" w:cs="仿宋"/>
          <w:color w:val="000000"/>
          <w:sz w:val="32"/>
          <w:szCs w:val="32"/>
          <w:lang w:eastAsia="zh-CN"/>
        </w:rPr>
        <w:t>《市场监督管理投诉举报处理暂行办法》</w:t>
      </w:r>
      <w:r>
        <w:rPr>
          <w:rFonts w:hint="eastAsia" w:ascii="仿宋" w:hAnsi="仿宋" w:eastAsia="仿宋" w:cs="仿宋"/>
          <w:color w:val="000000"/>
          <w:sz w:val="32"/>
          <w:szCs w:val="32"/>
          <w:lang w:val="en-US" w:eastAsia="zh-CN"/>
        </w:rPr>
        <w:t>第十二条“投诉由被投诉人实际经营地或者住所地县级市场监督管理部门处理。对电子商务平台经营者以及通过自建网站、其他网络服务销售商品或者提供服务的电子商务经营者的投诉，由其住所地县级市场监督管理部门处理。对平台内经营者的投诉，由其实际经营地或者平台经营者住所地县级市场监督管理部门处理”以及第二十五条“举报由被举报行为发生地的县级以上市场监督管理部门处理”的规定，被申请人具有处理涉案投诉举报的职权。</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eastAsia="zh-CN"/>
        </w:rPr>
        <w:t>根据《市场监督管理行政处罚程序暂行规定》第十七条</w:t>
      </w:r>
      <w:r>
        <w:rPr>
          <w:rFonts w:hint="eastAsia" w:ascii="仿宋" w:hAnsi="仿宋" w:eastAsia="仿宋" w:cs="仿宋"/>
          <w:color w:val="000000"/>
          <w:sz w:val="32"/>
          <w:szCs w:val="32"/>
          <w:lang w:val="en-US" w:eastAsia="zh-CN"/>
        </w:rPr>
        <w:t>第一款规定：“</w:t>
      </w:r>
      <w:r>
        <w:rPr>
          <w:rFonts w:hint="eastAsia" w:ascii="仿宋" w:hAnsi="仿宋" w:eastAsia="仿宋" w:cs="仿宋"/>
          <w:color w:val="000000"/>
          <w:sz w:val="32"/>
          <w:szCs w:val="32"/>
          <w:lang w:eastAsia="zh-CN"/>
        </w:rPr>
        <w:t>市场监督管理部门对依据监督检查职权或者通过投诉、举报、其他部门移送、上级交办等途径发现的违法行为线索，应当自发现线索或者收到材料之日起十五个工作日内予以核查，由市场监督管理部门负责人决定是否立案；……</w:t>
      </w:r>
      <w:r>
        <w:rPr>
          <w:rFonts w:hint="eastAsia" w:ascii="仿宋" w:hAnsi="仿宋" w:eastAsia="仿宋" w:cs="仿宋"/>
          <w:color w:val="000000"/>
          <w:sz w:val="32"/>
          <w:szCs w:val="32"/>
          <w:lang w:val="en-US" w:eastAsia="zh-CN"/>
        </w:rPr>
        <w:t>”及</w:t>
      </w:r>
      <w:r>
        <w:rPr>
          <w:rFonts w:hint="eastAsia" w:ascii="仿宋" w:hAnsi="仿宋" w:eastAsia="仿宋" w:cs="仿宋"/>
          <w:color w:val="000000"/>
          <w:sz w:val="32"/>
          <w:szCs w:val="32"/>
          <w:lang w:eastAsia="zh-CN"/>
        </w:rPr>
        <w:t>《市场监督管理投诉举报处理暂行办法》第三十一条第二款</w:t>
      </w:r>
      <w:r>
        <w:rPr>
          <w:rFonts w:hint="eastAsia" w:ascii="仿宋" w:hAnsi="仿宋" w:eastAsia="仿宋" w:cs="仿宋"/>
          <w:color w:val="000000"/>
          <w:sz w:val="32"/>
          <w:szCs w:val="32"/>
          <w:lang w:val="en-US" w:eastAsia="zh-CN"/>
        </w:rPr>
        <w:t>规定：</w:t>
      </w:r>
      <w:r>
        <w:rPr>
          <w:rFonts w:hint="eastAsia" w:ascii="仿宋" w:hAnsi="仿宋" w:eastAsia="仿宋" w:cs="仿宋"/>
          <w:color w:val="000000"/>
          <w:sz w:val="32"/>
          <w:szCs w:val="32"/>
          <w:lang w:eastAsia="zh-CN"/>
        </w:rPr>
        <w:t>“举报人实名举报的，有处理权限的市场监督管理部门还应当自作出是否立案决定之日起五个工作日内告知举报人”，</w:t>
      </w:r>
      <w:r>
        <w:rPr>
          <w:rFonts w:hint="eastAsia" w:ascii="仿宋" w:hAnsi="仿宋" w:eastAsia="仿宋" w:cs="仿宋"/>
          <w:color w:val="000000"/>
          <w:sz w:val="32"/>
          <w:szCs w:val="32"/>
          <w:lang w:val="en-US" w:eastAsia="zh-CN"/>
        </w:rPr>
        <w:t>被申请人于2021年8月16日收到申请人的举报线索后，并于</w:t>
      </w:r>
      <w:r>
        <w:rPr>
          <w:rFonts w:hint="eastAsia" w:ascii="仿宋" w:hAnsi="仿宋" w:eastAsia="仿宋" w:cs="仿宋"/>
          <w:spacing w:val="4"/>
          <w:sz w:val="32"/>
          <w:szCs w:val="32"/>
          <w:highlight w:val="none"/>
          <w:lang w:val="en-US" w:eastAsia="zh-CN"/>
        </w:rPr>
        <w:t>2021年</w:t>
      </w:r>
      <w:r>
        <w:rPr>
          <w:rFonts w:hint="eastAsia" w:ascii="仿宋" w:hAnsi="仿宋" w:eastAsia="仿宋" w:cs="仿宋"/>
          <w:color w:val="000000"/>
          <w:sz w:val="32"/>
          <w:szCs w:val="32"/>
          <w:lang w:val="en-US" w:eastAsia="zh-CN"/>
        </w:rPr>
        <w:t>8月27日进行现场核查并作出了不予立案的决定，并于2021年8月27日告知申请人，程序合法。</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shd w:val="clear" w:color="auto" w:fill="auto"/>
          <w:lang w:val="en-US" w:eastAsia="zh-CN"/>
        </w:rPr>
      </w:pPr>
      <w:r>
        <w:rPr>
          <w:rFonts w:hint="eastAsia" w:ascii="仿宋" w:hAnsi="仿宋" w:eastAsia="仿宋" w:cs="仿宋"/>
          <w:color w:val="auto"/>
          <w:sz w:val="32"/>
          <w:szCs w:val="32"/>
          <w:shd w:val="clear" w:color="auto" w:fill="auto"/>
          <w:lang w:eastAsia="zh-CN"/>
        </w:rPr>
        <w:t>在案证据</w:t>
      </w:r>
      <w:r>
        <w:rPr>
          <w:rFonts w:hint="eastAsia" w:ascii="仿宋" w:hAnsi="仿宋" w:eastAsia="仿宋" w:cs="仿宋"/>
          <w:color w:val="auto"/>
          <w:sz w:val="32"/>
          <w:szCs w:val="32"/>
          <w:shd w:val="clear" w:color="auto" w:fill="auto"/>
          <w:lang w:val="en-US" w:eastAsia="zh-CN"/>
        </w:rPr>
        <w:t>显示</w:t>
      </w:r>
      <w:r>
        <w:rPr>
          <w:rFonts w:hint="eastAsia" w:ascii="仿宋" w:hAnsi="仿宋" w:eastAsia="仿宋" w:cs="仿宋"/>
          <w:color w:val="auto"/>
          <w:sz w:val="32"/>
          <w:szCs w:val="32"/>
          <w:shd w:val="clear" w:color="auto" w:fill="auto"/>
          <w:lang w:eastAsia="zh-CN"/>
        </w:rPr>
        <w:t>，</w:t>
      </w:r>
      <w:r>
        <w:rPr>
          <w:rFonts w:hint="eastAsia" w:ascii="仿宋" w:hAnsi="仿宋" w:eastAsia="仿宋" w:cs="仿宋"/>
          <w:color w:val="auto"/>
          <w:sz w:val="32"/>
          <w:szCs w:val="32"/>
          <w:shd w:val="clear" w:color="auto" w:fill="auto"/>
          <w:lang w:val="en-US" w:eastAsia="zh-CN"/>
        </w:rPr>
        <w:t>被申请人在收到申请人的举报事项后，依法进行了调查，因被举报人为电子商务平台内经营者，其</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 w:hAnsi="仿宋" w:eastAsia="仿宋" w:cs="仿宋"/>
          <w:spacing w:val="4"/>
          <w:sz w:val="32"/>
          <w:szCs w:val="32"/>
        </w:rPr>
      </w:pPr>
      <w:r>
        <w:rPr>
          <w:rFonts w:hint="eastAsia" w:ascii="仿宋" w:hAnsi="仿宋" w:eastAsia="仿宋" w:cs="仿宋"/>
          <w:color w:val="auto"/>
          <w:sz w:val="32"/>
          <w:szCs w:val="32"/>
          <w:shd w:val="clear" w:color="auto" w:fill="auto"/>
          <w:lang w:val="en-US" w:eastAsia="zh-CN"/>
        </w:rPr>
        <w:t>企业登记住所与实际经营场所不一致，被申请人认为对于申请人提供的举报线索无法进一步核实，符合相关事实。根据《中华人民共和国行政处罚法》第四十条：“</w:t>
      </w:r>
      <w:bookmarkStart w:id="0" w:name="tiao_30_kuan_1"/>
      <w:bookmarkEnd w:id="0"/>
      <w:r>
        <w:rPr>
          <w:rFonts w:hint="eastAsia" w:ascii="仿宋" w:hAnsi="仿宋" w:eastAsia="仿宋" w:cs="仿宋"/>
          <w:color w:val="auto"/>
          <w:sz w:val="32"/>
          <w:szCs w:val="32"/>
          <w:shd w:val="clear" w:color="auto" w:fill="auto"/>
          <w:lang w:val="en-US" w:eastAsia="zh-CN"/>
        </w:rPr>
        <w:t>公民、法人或者其他组织违反行政管理秩序的行为，依法应当给予行政处罚的，行政机关必须查明事实；违法事实不清、证据不足的，不得给予行政处罚</w:t>
      </w:r>
      <w:r>
        <w:rPr>
          <w:rFonts w:hint="eastAsia" w:ascii="仿宋" w:hAnsi="仿宋" w:eastAsia="仿宋" w:cs="仿宋"/>
          <w:color w:val="auto"/>
          <w:sz w:val="32"/>
          <w:szCs w:val="32"/>
          <w:shd w:val="clear" w:color="auto" w:fill="auto"/>
          <w:lang w:val="en-US" w:eastAsia="zh-CN"/>
        </w:rPr>
        <w:fldChar w:fldCharType="begin"/>
      </w:r>
      <w:r>
        <w:rPr>
          <w:rFonts w:hint="eastAsia" w:ascii="仿宋" w:hAnsi="仿宋" w:eastAsia="仿宋" w:cs="仿宋"/>
          <w:color w:val="auto"/>
          <w:sz w:val="32"/>
          <w:szCs w:val="32"/>
          <w:shd w:val="clear" w:color="auto" w:fill="auto"/>
          <w:lang w:val="en-US" w:eastAsia="zh-CN"/>
        </w:rPr>
        <w:instrText xml:space="preserve"> HYPERLINK "https://www.pkulaw.com/chl/javascript:void(0);" </w:instrText>
      </w:r>
      <w:r>
        <w:rPr>
          <w:rFonts w:hint="eastAsia" w:ascii="仿宋" w:hAnsi="仿宋" w:eastAsia="仿宋" w:cs="仿宋"/>
          <w:color w:val="auto"/>
          <w:sz w:val="32"/>
          <w:szCs w:val="32"/>
          <w:shd w:val="clear" w:color="auto" w:fill="auto"/>
          <w:lang w:val="en-US" w:eastAsia="zh-CN"/>
        </w:rPr>
        <w:fldChar w:fldCharType="separate"/>
      </w:r>
      <w:r>
        <w:rPr>
          <w:rFonts w:hint="eastAsia" w:ascii="仿宋" w:hAnsi="仿宋" w:eastAsia="仿宋" w:cs="仿宋"/>
          <w:color w:val="auto"/>
          <w:sz w:val="32"/>
          <w:szCs w:val="32"/>
          <w:shd w:val="clear" w:color="auto" w:fill="auto"/>
          <w:lang w:val="en-US" w:eastAsia="zh-CN"/>
        </w:rPr>
        <w:fldChar w:fldCharType="end"/>
      </w:r>
      <w:r>
        <w:rPr>
          <w:rFonts w:hint="eastAsia" w:ascii="仿宋" w:hAnsi="仿宋" w:eastAsia="仿宋" w:cs="仿宋"/>
          <w:color w:val="auto"/>
          <w:sz w:val="32"/>
          <w:szCs w:val="32"/>
          <w:shd w:val="clear" w:color="auto" w:fill="auto"/>
          <w:lang w:val="en-US" w:eastAsia="zh-CN"/>
        </w:rPr>
        <w:t>”之规定，被申请人决定对被举报人不予立案处理，合法有据。另外，针对被举报人通过登记住所无法联系等违法行为，被申请人已依法</w:t>
      </w:r>
      <w:r>
        <w:rPr>
          <w:rFonts w:hint="eastAsia" w:ascii="仿宋" w:hAnsi="仿宋" w:eastAsia="仿宋" w:cs="仿宋"/>
          <w:spacing w:val="4"/>
          <w:sz w:val="32"/>
          <w:szCs w:val="32"/>
          <w:highlight w:val="none"/>
          <w:lang w:val="en-US" w:eastAsia="zh-CN"/>
        </w:rPr>
        <w:t>将其列入经营异常名录，依法履行了监管职责。</w:t>
      </w:r>
      <w:r>
        <w:rPr>
          <w:rFonts w:hint="eastAsia" w:ascii="仿宋" w:hAnsi="仿宋" w:eastAsia="仿宋" w:cs="仿宋"/>
          <w:spacing w:val="4"/>
          <w:sz w:val="32"/>
          <w:szCs w:val="32"/>
          <w:lang w:val="en-US" w:eastAsia="zh-CN"/>
        </w:rPr>
        <w:t>申请人</w:t>
      </w:r>
      <w:r>
        <w:rPr>
          <w:rFonts w:hint="eastAsia" w:ascii="仿宋" w:hAnsi="仿宋" w:eastAsia="仿宋" w:cs="仿宋"/>
          <w:spacing w:val="4"/>
          <w:sz w:val="32"/>
          <w:szCs w:val="32"/>
          <w:lang w:eastAsia="zh-CN"/>
        </w:rPr>
        <w:t>请求撤销不予立案</w:t>
      </w:r>
      <w:r>
        <w:rPr>
          <w:rFonts w:hint="eastAsia" w:ascii="仿宋" w:hAnsi="仿宋" w:eastAsia="仿宋" w:cs="仿宋"/>
          <w:spacing w:val="4"/>
          <w:sz w:val="32"/>
          <w:szCs w:val="32"/>
          <w:lang w:val="en-US" w:eastAsia="zh-CN"/>
        </w:rPr>
        <w:t>决定</w:t>
      </w:r>
      <w:r>
        <w:rPr>
          <w:rFonts w:hint="eastAsia" w:ascii="仿宋" w:hAnsi="仿宋" w:eastAsia="仿宋" w:cs="仿宋"/>
          <w:spacing w:val="4"/>
          <w:sz w:val="32"/>
          <w:szCs w:val="32"/>
          <w:lang w:eastAsia="zh-CN"/>
        </w:rPr>
        <w:t>并</w:t>
      </w:r>
      <w:r>
        <w:rPr>
          <w:rFonts w:hint="eastAsia" w:ascii="仿宋" w:hAnsi="仿宋" w:eastAsia="仿宋" w:cs="仿宋"/>
          <w:spacing w:val="4"/>
          <w:sz w:val="32"/>
          <w:szCs w:val="32"/>
          <w:lang w:val="en-US" w:eastAsia="zh-CN"/>
        </w:rPr>
        <w:t>重新处理</w:t>
      </w:r>
      <w:r>
        <w:rPr>
          <w:rFonts w:hint="eastAsia" w:ascii="仿宋" w:hAnsi="仿宋" w:eastAsia="仿宋" w:cs="仿宋"/>
          <w:spacing w:val="4"/>
          <w:sz w:val="32"/>
          <w:szCs w:val="32"/>
          <w:lang w:eastAsia="zh-CN"/>
        </w:rPr>
        <w:t>，理据不足，本府不予支持。</w:t>
      </w:r>
    </w:p>
    <w:p>
      <w:pPr>
        <w:pStyle w:val="3"/>
        <w:ind w:firstLine="640" w:firstLineChars="200"/>
        <w:rPr>
          <w:rFonts w:ascii="黑体" w:hAnsi="黑体" w:eastAsia="黑体" w:cs="宋体"/>
          <w:u w:val="none"/>
        </w:rPr>
      </w:pPr>
      <w:r>
        <w:rPr>
          <w:rFonts w:hint="eastAsia" w:ascii="黑体" w:hAnsi="黑体" w:eastAsia="黑体" w:cs="宋体"/>
          <w:u w:val="none"/>
        </w:rPr>
        <w:t>本府决定：</w:t>
      </w:r>
    </w:p>
    <w:p>
      <w:pPr>
        <w:keepNext w:val="0"/>
        <w:keepLines w:val="0"/>
        <w:pageBreakBefore w:val="0"/>
        <w:widowControl w:val="0"/>
        <w:kinsoku/>
        <w:wordWrap/>
        <w:overflowPunct/>
        <w:topLinePunct w:val="0"/>
        <w:autoSpaceDE/>
        <w:autoSpaceDN/>
        <w:bidi w:val="0"/>
        <w:adjustRightInd/>
        <w:spacing w:line="600" w:lineRule="exact"/>
        <w:ind w:firstLine="656" w:firstLineChars="200"/>
        <w:textAlignment w:val="auto"/>
        <w:rPr>
          <w:rFonts w:hint="eastAsia" w:ascii="仿宋" w:hAnsi="仿宋" w:eastAsia="仿宋" w:cs="仿宋"/>
          <w:spacing w:val="4"/>
          <w:sz w:val="32"/>
          <w:szCs w:val="32"/>
        </w:rPr>
      </w:pPr>
      <w:r>
        <w:rPr>
          <w:rFonts w:hint="eastAsia" w:ascii="仿宋" w:hAnsi="仿宋" w:eastAsia="仿宋" w:cs="仿宋"/>
          <w:spacing w:val="4"/>
          <w:sz w:val="32"/>
          <w:szCs w:val="32"/>
        </w:rPr>
        <w:t>根据《中华人民共和国行政复议法》第</w:t>
      </w:r>
      <w:r>
        <w:rPr>
          <w:rFonts w:hint="eastAsia" w:ascii="仿宋" w:hAnsi="仿宋" w:eastAsia="仿宋" w:cs="仿宋"/>
          <w:spacing w:val="4"/>
          <w:sz w:val="32"/>
          <w:szCs w:val="32"/>
          <w:lang w:eastAsia="zh-CN"/>
        </w:rPr>
        <w:t>二</w:t>
      </w:r>
      <w:r>
        <w:rPr>
          <w:rFonts w:hint="eastAsia" w:ascii="仿宋" w:hAnsi="仿宋" w:eastAsia="仿宋" w:cs="仿宋"/>
          <w:spacing w:val="4"/>
          <w:sz w:val="32"/>
          <w:szCs w:val="32"/>
        </w:rPr>
        <w:t>十八条第一款第（一）项之规定，</w:t>
      </w:r>
      <w:r>
        <w:rPr>
          <w:rFonts w:hint="eastAsia" w:ascii="仿宋" w:hAnsi="仿宋" w:eastAsia="仿宋" w:cs="仿宋"/>
          <w:spacing w:val="4"/>
          <w:sz w:val="32"/>
          <w:szCs w:val="32"/>
          <w:lang w:eastAsia="zh-CN"/>
        </w:rPr>
        <w:t>维持被申请人于</w:t>
      </w:r>
      <w:r>
        <w:rPr>
          <w:rFonts w:hint="eastAsia" w:ascii="仿宋" w:hAnsi="仿宋" w:eastAsia="仿宋" w:cs="仿宋"/>
          <w:color w:val="000000"/>
          <w:sz w:val="32"/>
          <w:szCs w:val="32"/>
          <w:lang w:val="en-US" w:eastAsia="zh-CN"/>
        </w:rPr>
        <w:t>2021年8月27日在全国12315平台作出的工单编号1440114002021081645142298的投诉举报答复</w:t>
      </w:r>
      <w:r>
        <w:rPr>
          <w:rFonts w:hint="eastAsia" w:ascii="仿宋" w:hAnsi="仿宋" w:eastAsia="仿宋" w:cs="仿宋"/>
          <w:spacing w:val="4"/>
          <w:sz w:val="32"/>
          <w:szCs w:val="32"/>
        </w:rPr>
        <w:t>。</w:t>
      </w:r>
    </w:p>
    <w:p>
      <w:pPr>
        <w:pStyle w:val="3"/>
        <w:ind w:firstLine="640" w:firstLineChars="200"/>
        <w:rPr>
          <w:rFonts w:hint="eastAsia" w:ascii="仿宋" w:hAnsi="仿宋" w:eastAsia="仿宋" w:cs="仿宋"/>
          <w:u w:val="none"/>
          <w:lang w:eastAsia="zh-CN"/>
        </w:rPr>
      </w:pPr>
      <w:r>
        <w:rPr>
          <w:rFonts w:hint="eastAsia" w:ascii="仿宋" w:hAnsi="仿宋" w:eastAsia="仿宋" w:cs="仿宋"/>
          <w:u w:val="none"/>
        </w:rPr>
        <w:t>申请人如不服本决定，可以在收到本《行政复议决定书》之日起15日内，依法向有管辖权的人民法院起诉</w:t>
      </w:r>
      <w:r>
        <w:rPr>
          <w:rFonts w:hint="eastAsia" w:ascii="仿宋" w:hAnsi="仿宋" w:eastAsia="仿宋" w:cs="仿宋"/>
          <w:u w:val="none"/>
          <w:lang w:eastAsia="zh-CN"/>
        </w:rPr>
        <w:t>。</w:t>
      </w:r>
    </w:p>
    <w:p>
      <w:pPr>
        <w:pStyle w:val="3"/>
        <w:ind w:firstLine="640" w:firstLineChars="200"/>
        <w:rPr>
          <w:rFonts w:hint="eastAsia" w:ascii="仿宋" w:hAnsi="仿宋" w:eastAsia="仿宋" w:cs="仿宋"/>
          <w:u w:val="none"/>
          <w:lang w:eastAsia="zh-CN"/>
        </w:rPr>
      </w:pPr>
    </w:p>
    <w:p>
      <w:pPr>
        <w:pStyle w:val="3"/>
        <w:ind w:firstLine="640" w:firstLineChars="200"/>
        <w:rPr>
          <w:rFonts w:hint="eastAsia" w:ascii="仿宋" w:hAnsi="仿宋" w:eastAsia="仿宋" w:cs="仿宋"/>
          <w:u w:val="none"/>
          <w:lang w:eastAsia="zh-CN"/>
        </w:rPr>
      </w:pPr>
    </w:p>
    <w:p>
      <w:pPr>
        <w:pStyle w:val="3"/>
        <w:jc w:val="left"/>
        <w:rPr>
          <w:rFonts w:hint="eastAsia" w:ascii="仿宋" w:hAnsi="仿宋" w:eastAsia="仿宋" w:cs="仿宋"/>
          <w:u w:val="none"/>
        </w:rPr>
      </w:pPr>
      <w:r>
        <w:rPr>
          <w:rFonts w:hint="eastAsia" w:ascii="仿宋" w:hAnsi="仿宋" w:eastAsia="仿宋" w:cs="仿宋"/>
          <w:u w:val="none"/>
        </w:rPr>
        <w:t xml:space="preserve">    本件与原件核对无异</w:t>
      </w:r>
    </w:p>
    <w:p>
      <w:pPr>
        <w:pStyle w:val="3"/>
        <w:ind w:firstLine="640" w:firstLineChars="200"/>
        <w:rPr>
          <w:rFonts w:hint="eastAsia" w:ascii="仿宋" w:hAnsi="仿宋" w:eastAsia="仿宋" w:cs="仿宋"/>
          <w:u w:val="none"/>
          <w:lang w:val="en-US" w:eastAsia="zh-CN"/>
        </w:rPr>
      </w:pPr>
      <w:r>
        <w:rPr>
          <w:rFonts w:hint="eastAsia" w:ascii="仿宋" w:hAnsi="仿宋" w:eastAsia="仿宋" w:cs="仿宋"/>
          <w:u w:val="none"/>
        </w:rPr>
        <w:t xml:space="preserve">          </w:t>
      </w:r>
      <w:r>
        <w:rPr>
          <w:rFonts w:hint="eastAsia" w:ascii="仿宋" w:hAnsi="仿宋" w:eastAsia="仿宋" w:cs="仿宋"/>
          <w:u w:val="none"/>
          <w:lang w:val="en-US" w:eastAsia="zh-CN"/>
        </w:rPr>
        <w:t xml:space="preserve">     </w:t>
      </w:r>
    </w:p>
    <w:p>
      <w:pPr>
        <w:pStyle w:val="3"/>
        <w:ind w:firstLine="640" w:firstLineChars="200"/>
        <w:rPr>
          <w:rFonts w:hint="eastAsia" w:ascii="仿宋" w:hAnsi="仿宋" w:eastAsia="仿宋" w:cs="仿宋"/>
          <w:u w:val="none"/>
          <w:lang w:val="en-US" w:eastAsia="zh-CN"/>
        </w:rPr>
      </w:pPr>
    </w:p>
    <w:p>
      <w:pPr>
        <w:pStyle w:val="3"/>
        <w:ind w:firstLine="640" w:firstLineChars="200"/>
        <w:rPr>
          <w:rFonts w:hint="eastAsia" w:ascii="仿宋" w:hAnsi="仿宋" w:eastAsia="仿宋" w:cs="仿宋"/>
          <w:u w:val="none"/>
          <w:lang w:val="en-US" w:eastAsia="zh-CN"/>
        </w:rPr>
      </w:pPr>
    </w:p>
    <w:p>
      <w:pPr>
        <w:pStyle w:val="3"/>
        <w:ind w:firstLine="640" w:firstLineChars="200"/>
        <w:rPr>
          <w:rFonts w:hint="eastAsia" w:ascii="仿宋" w:hAnsi="仿宋" w:eastAsia="仿宋" w:cs="仿宋"/>
          <w:u w:val="none"/>
        </w:rPr>
      </w:pPr>
      <w:r>
        <w:rPr>
          <w:rFonts w:hint="eastAsia" w:ascii="仿宋" w:hAnsi="仿宋" w:eastAsia="仿宋" w:cs="仿宋"/>
          <w:u w:val="none"/>
        </w:rPr>
        <w:t xml:space="preserve">                      二〇二</w:t>
      </w:r>
      <w:r>
        <w:rPr>
          <w:rFonts w:hint="eastAsia" w:ascii="仿宋" w:hAnsi="仿宋" w:eastAsia="仿宋" w:cs="仿宋"/>
          <w:u w:val="none"/>
          <w:lang w:val="en-US" w:eastAsia="zh-CN"/>
        </w:rPr>
        <w:t>一</w:t>
      </w:r>
      <w:r>
        <w:rPr>
          <w:rFonts w:hint="eastAsia" w:ascii="仿宋" w:hAnsi="仿宋" w:eastAsia="仿宋" w:cs="仿宋"/>
          <w:u w:val="none"/>
        </w:rPr>
        <w:t>年</w:t>
      </w:r>
      <w:r>
        <w:rPr>
          <w:rFonts w:hint="eastAsia" w:ascii="仿宋" w:hAnsi="仿宋" w:eastAsia="仿宋" w:cs="仿宋"/>
          <w:u w:val="none"/>
          <w:lang w:val="en-US" w:eastAsia="zh-CN"/>
        </w:rPr>
        <w:t>十二</w:t>
      </w:r>
      <w:r>
        <w:rPr>
          <w:rFonts w:hint="eastAsia" w:ascii="仿宋" w:hAnsi="仿宋" w:eastAsia="仿宋" w:cs="仿宋"/>
          <w:u w:val="none"/>
        </w:rPr>
        <w:t>月</w:t>
      </w:r>
      <w:r>
        <w:rPr>
          <w:rFonts w:hint="eastAsia" w:ascii="仿宋" w:hAnsi="仿宋" w:eastAsia="仿宋" w:cs="仿宋"/>
          <w:u w:val="none"/>
          <w:lang w:val="en-US" w:eastAsia="zh-CN"/>
        </w:rPr>
        <w:t>七</w:t>
      </w:r>
      <w:r>
        <w:rPr>
          <w:rFonts w:hint="eastAsia" w:ascii="仿宋" w:hAnsi="仿宋" w:eastAsia="仿宋" w:cs="仿宋"/>
          <w:u w:val="none"/>
        </w:rPr>
        <w:t>日</w:t>
      </w:r>
    </w:p>
    <w:p>
      <w:pPr>
        <w:pStyle w:val="3"/>
        <w:ind w:firstLine="640" w:firstLineChars="200"/>
        <w:rPr>
          <w:rFonts w:hint="eastAsia" w:ascii="仿宋" w:hAnsi="仿宋" w:eastAsia="仿宋" w:cs="仿宋"/>
          <w:u w:val="none"/>
        </w:rPr>
      </w:pPr>
    </w:p>
    <w:sectPr>
      <w:footerReference r:id="rId3"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小标宋">
    <w:altName w:val="微软雅黑"/>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方正小标宋简体">
    <w:altName w:val="黑体"/>
    <w:panose1 w:val="03000509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11</w:t>
                          </w:r>
                          <w:r>
                            <w:fldChar w:fldCharType="end"/>
                          </w:r>
                          <w:r>
                            <w:t xml:space="preserve"> 页</w:t>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pci88sBAACcAwAADgAAAGRycy9lMm9Eb2MueG1srVPNjtMwEL4j8Q6W&#10;79RpJ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rFTaDEcYsDv3z/dvnx6/LzK1lW&#10;q9dZoT5AjYkPAVPTcOeHnD35AZ2Z+KCizV+kRDCO+p6v+sohEZEfrVfrdYUhgbH5gjjs8XmIkN5K&#10;b0k2GhpxgEVXfnoPaUydU3I15++1MejntXF/ORAze1jufewxW2nYD1Pje9+ekU+Ps2+ow1WnxLxz&#10;KG1ek9mIs7GfjWOI+tCVPcr1INweEzZRessVRtipMA6tsJsWLG/Fn/eS9fhTbX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EqXIvPLAQAAnAMAAA4AAAAAAAAAAQAgAAAAHgEAAGRycy9lMm9E&#10;b2MueG1sUEsFBgAAAAAGAAYAWQEAAFsFAAAAAA==&#10;">
              <v:fill on="f" focussize="0,0"/>
              <v:stroke on="f"/>
              <v:imagedata o:title=""/>
              <o:lock v:ext="edit" aspectratio="f"/>
              <v:textbox inset="0mm,0mm,0mm,0mm" style="mso-fit-shape-to-text:t;">
                <w:txbxContent>
                  <w:p>
                    <w:pPr>
                      <w:pStyle w:val="4"/>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11</w:t>
                    </w:r>
                    <w:r>
                      <w:fldChar w:fldCharType="end"/>
                    </w:r>
                    <w: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bordersDoNotSurroundHeader w:val="0"/>
  <w:bordersDoNotSurroundFooter w:val="0"/>
  <w:documentProtection w:enforcement="0"/>
  <w:defaultTabStop w:val="420"/>
  <w:drawingGridHorizontalSpacing w:val="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1E045E"/>
    <w:rsid w:val="019F5D49"/>
    <w:rsid w:val="01FC5BD9"/>
    <w:rsid w:val="03B84A1E"/>
    <w:rsid w:val="03D80108"/>
    <w:rsid w:val="0458732B"/>
    <w:rsid w:val="04DF2C46"/>
    <w:rsid w:val="065D2257"/>
    <w:rsid w:val="074F14C2"/>
    <w:rsid w:val="07734161"/>
    <w:rsid w:val="07941B04"/>
    <w:rsid w:val="08A347AA"/>
    <w:rsid w:val="095F157D"/>
    <w:rsid w:val="099D69FB"/>
    <w:rsid w:val="0BB531C2"/>
    <w:rsid w:val="0ED4300B"/>
    <w:rsid w:val="0FDA7352"/>
    <w:rsid w:val="10C47FE0"/>
    <w:rsid w:val="11096E9A"/>
    <w:rsid w:val="12257DDC"/>
    <w:rsid w:val="1304783C"/>
    <w:rsid w:val="13685314"/>
    <w:rsid w:val="14734539"/>
    <w:rsid w:val="14EE75BD"/>
    <w:rsid w:val="155F4D63"/>
    <w:rsid w:val="15D8315C"/>
    <w:rsid w:val="15E91ABD"/>
    <w:rsid w:val="17D069DB"/>
    <w:rsid w:val="17D97658"/>
    <w:rsid w:val="17FA37F3"/>
    <w:rsid w:val="19CE264C"/>
    <w:rsid w:val="1A850F64"/>
    <w:rsid w:val="1AA020C6"/>
    <w:rsid w:val="1B505BFA"/>
    <w:rsid w:val="1F5B1939"/>
    <w:rsid w:val="1FB80B3A"/>
    <w:rsid w:val="20140FCA"/>
    <w:rsid w:val="21C95B98"/>
    <w:rsid w:val="22046416"/>
    <w:rsid w:val="2227692D"/>
    <w:rsid w:val="22E17CFE"/>
    <w:rsid w:val="22FA5663"/>
    <w:rsid w:val="23552F24"/>
    <w:rsid w:val="24AD5E9A"/>
    <w:rsid w:val="25414FEE"/>
    <w:rsid w:val="25872987"/>
    <w:rsid w:val="275A2C45"/>
    <w:rsid w:val="27A861CE"/>
    <w:rsid w:val="27BE5043"/>
    <w:rsid w:val="28CA02BD"/>
    <w:rsid w:val="291246E5"/>
    <w:rsid w:val="2B8C0681"/>
    <w:rsid w:val="2C8D1041"/>
    <w:rsid w:val="2CFB1FAB"/>
    <w:rsid w:val="2D425CD2"/>
    <w:rsid w:val="2E215AA4"/>
    <w:rsid w:val="2E3207D6"/>
    <w:rsid w:val="2EA13022"/>
    <w:rsid w:val="2ED440D7"/>
    <w:rsid w:val="30013200"/>
    <w:rsid w:val="302277EE"/>
    <w:rsid w:val="30364030"/>
    <w:rsid w:val="30635A9C"/>
    <w:rsid w:val="30DB5595"/>
    <w:rsid w:val="317A3836"/>
    <w:rsid w:val="31B71795"/>
    <w:rsid w:val="330C1965"/>
    <w:rsid w:val="33F6382E"/>
    <w:rsid w:val="34104154"/>
    <w:rsid w:val="34420DF6"/>
    <w:rsid w:val="34655B6D"/>
    <w:rsid w:val="34D26F92"/>
    <w:rsid w:val="36FA5A5B"/>
    <w:rsid w:val="37DC6D48"/>
    <w:rsid w:val="387B2D20"/>
    <w:rsid w:val="39674EAC"/>
    <w:rsid w:val="39F46167"/>
    <w:rsid w:val="3A500C7D"/>
    <w:rsid w:val="3AB70F90"/>
    <w:rsid w:val="3AE92355"/>
    <w:rsid w:val="3C016DE2"/>
    <w:rsid w:val="3C942397"/>
    <w:rsid w:val="428A7C2F"/>
    <w:rsid w:val="432B5420"/>
    <w:rsid w:val="43B717F2"/>
    <w:rsid w:val="43CD6A10"/>
    <w:rsid w:val="44A44D47"/>
    <w:rsid w:val="45FE75E5"/>
    <w:rsid w:val="47C43DD0"/>
    <w:rsid w:val="4A8E1E44"/>
    <w:rsid w:val="4D547624"/>
    <w:rsid w:val="4E75712D"/>
    <w:rsid w:val="4EEB59ED"/>
    <w:rsid w:val="4F805314"/>
    <w:rsid w:val="5084101D"/>
    <w:rsid w:val="51FB7B3A"/>
    <w:rsid w:val="526B6D56"/>
    <w:rsid w:val="527A767F"/>
    <w:rsid w:val="5315050F"/>
    <w:rsid w:val="53640E69"/>
    <w:rsid w:val="53AE1924"/>
    <w:rsid w:val="53F662F2"/>
    <w:rsid w:val="55805EA7"/>
    <w:rsid w:val="5723031A"/>
    <w:rsid w:val="57BB433C"/>
    <w:rsid w:val="582578DF"/>
    <w:rsid w:val="584F7859"/>
    <w:rsid w:val="588B2436"/>
    <w:rsid w:val="59425EF2"/>
    <w:rsid w:val="5A083311"/>
    <w:rsid w:val="5A8F3623"/>
    <w:rsid w:val="5B05088A"/>
    <w:rsid w:val="5D240CA6"/>
    <w:rsid w:val="5D5E0F77"/>
    <w:rsid w:val="5D73207A"/>
    <w:rsid w:val="5E035D02"/>
    <w:rsid w:val="5E47139A"/>
    <w:rsid w:val="5F292341"/>
    <w:rsid w:val="5F4F51F5"/>
    <w:rsid w:val="5F717D16"/>
    <w:rsid w:val="60950764"/>
    <w:rsid w:val="62DB5741"/>
    <w:rsid w:val="63A3294D"/>
    <w:rsid w:val="645E51ED"/>
    <w:rsid w:val="654A7853"/>
    <w:rsid w:val="658D0FAF"/>
    <w:rsid w:val="67CC1E39"/>
    <w:rsid w:val="67F466F8"/>
    <w:rsid w:val="68A230A6"/>
    <w:rsid w:val="6A037FE7"/>
    <w:rsid w:val="6A3A0A44"/>
    <w:rsid w:val="6B205326"/>
    <w:rsid w:val="6B687E5A"/>
    <w:rsid w:val="6B6D5C02"/>
    <w:rsid w:val="6C637DCE"/>
    <w:rsid w:val="6D355C4D"/>
    <w:rsid w:val="6DDE6A82"/>
    <w:rsid w:val="6DE640AE"/>
    <w:rsid w:val="702F2BE2"/>
    <w:rsid w:val="711148EB"/>
    <w:rsid w:val="724C632A"/>
    <w:rsid w:val="742A7014"/>
    <w:rsid w:val="753A630A"/>
    <w:rsid w:val="781259F9"/>
    <w:rsid w:val="78C83DE6"/>
    <w:rsid w:val="792B48AF"/>
    <w:rsid w:val="79AC4945"/>
    <w:rsid w:val="7A014D2B"/>
    <w:rsid w:val="7A0667E0"/>
    <w:rsid w:val="7A486719"/>
    <w:rsid w:val="7A951C98"/>
    <w:rsid w:val="7BA1047D"/>
    <w:rsid w:val="7CFD28B8"/>
    <w:rsid w:val="7D1E33AE"/>
    <w:rsid w:val="7D3D2392"/>
    <w:rsid w:val="7E4754E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semiHidden/>
    <w:qFormat/>
    <w:uiPriority w:val="0"/>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pPr>
    <w:rPr>
      <w:szCs w:val="32"/>
    </w:rPr>
  </w:style>
  <w:style w:type="paragraph" w:styleId="3">
    <w:name w:val="Plain Text"/>
    <w:basedOn w:val="1"/>
    <w:qFormat/>
    <w:uiPriority w:val="0"/>
    <w:rPr>
      <w:rFonts w:ascii="仿宋_GB2312" w:hAnsi="Courier New" w:eastAsia="仿宋_GB2312" w:cs="Courier New"/>
      <w:sz w:val="32"/>
      <w:szCs w:val="21"/>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unhideWhenUsed/>
    <w:qFormat/>
    <w:uiPriority w:val="99"/>
    <w:pPr>
      <w:spacing w:before="100" w:beforeAutospacing="1" w:after="100" w:afterAutospacing="1"/>
      <w:ind w:left="0" w:right="0"/>
      <w:jc w:val="left"/>
    </w:pPr>
    <w:rPr>
      <w:kern w:val="0"/>
      <w:sz w:val="24"/>
      <w:lang w:val="en-US" w:eastAsia="zh-CN"/>
    </w:rPr>
  </w:style>
  <w:style w:type="character" w:styleId="9">
    <w:name w:val="Hyperlink"/>
    <w:basedOn w:val="8"/>
    <w:qFormat/>
    <w:uiPriority w:val="0"/>
    <w:rPr>
      <w:color w:val="0000FF"/>
      <w:u w:val="single"/>
    </w:rPr>
  </w:style>
  <w:style w:type="paragraph" w:customStyle="1" w:styleId="10">
    <w:name w:val="Default"/>
    <w:qFormat/>
    <w:uiPriority w:val="0"/>
    <w:pPr>
      <w:widowControl w:val="0"/>
      <w:autoSpaceDE w:val="0"/>
      <w:autoSpaceDN w:val="0"/>
      <w:adjustRightInd w:val="0"/>
    </w:pPr>
    <w:rPr>
      <w:rFonts w:ascii="仿宋_GB2312" w:hAnsi="仿宋_GB2312" w:eastAsia="宋体" w:cs="仿宋_GB2312"/>
      <w:color w:val="000000"/>
      <w:sz w:val="24"/>
      <w:szCs w:val="24"/>
      <w:lang w:val="en-US" w:eastAsia="zh-CN" w:bidi="ar-SA"/>
    </w:rPr>
  </w:style>
  <w:style w:type="paragraph" w:customStyle="1" w:styleId="11">
    <w:name w:val="p0"/>
    <w:basedOn w:val="1"/>
    <w:qFormat/>
    <w:uiPriority w:val="0"/>
    <w:pPr>
      <w:widowControl/>
    </w:pPr>
    <w:rPr>
      <w:rFonts w:ascii="Times New Roman" w:hAnsi="Times New Roman"/>
      <w:kern w:val="0"/>
      <w:szCs w:val="21"/>
    </w:rPr>
  </w:style>
  <w:style w:type="paragraph" w:customStyle="1" w:styleId="12">
    <w:name w:val="p15"/>
    <w:basedOn w:val="1"/>
    <w:qFormat/>
    <w:uiPriority w:val="0"/>
    <w:pPr>
      <w:widowControl/>
    </w:pPr>
    <w:rPr>
      <w:rFonts w:ascii="宋体" w:hAnsi="宋体" w:cs="宋体"/>
      <w:kern w:val="0"/>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区司法局</Company>
  <Pages>15</Pages>
  <Words>6905</Words>
  <Characters>7321</Characters>
  <Lines>0</Lines>
  <Paragraphs>0</Paragraphs>
  <TotalTime>1</TotalTime>
  <ScaleCrop>false</ScaleCrop>
  <LinksUpToDate>false</LinksUpToDate>
  <CharactersWithSpaces>9738</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2021-07-01T06:53:00Z</dcterms:created>
  <dc:creator>Lenovo</dc:creator>
  <cp:lastModifiedBy>-</cp:lastModifiedBy>
  <cp:lastPrinted>2021-09-13T03:31:00Z</cp:lastPrinted>
  <dcterms:modified xsi:type="dcterms:W3CDTF">2024-05-07T01:41:58Z</dcterms:modified>
  <dc:title>广州市花都区人民政府</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0FFB9D7253C449D482DA760CB01A22A5</vt:lpwstr>
  </property>
</Properties>
</file>