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auto"/>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附表</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560" w:lineRule="exact"/>
        <w:jc w:val="center"/>
        <w:textAlignment w:val="auto"/>
        <w:rPr>
          <w:rFonts w:hint="eastAsia" w:ascii="方正小标宋_GBK" w:hAnsi="方正小标宋_GBK" w:eastAsia="方正小标宋_GBK" w:cs="方正小标宋_GBK"/>
          <w:color w:val="auto"/>
          <w:kern w:val="0"/>
          <w:sz w:val="43"/>
          <w:szCs w:val="43"/>
          <w:lang w:val="en-US" w:eastAsia="zh-CN" w:bidi="ar"/>
        </w:rPr>
      </w:pPr>
      <w:r>
        <w:rPr>
          <w:rFonts w:ascii="方正小标宋_GBK" w:hAnsi="方正小标宋_GBK" w:eastAsia="方正小标宋_GBK" w:cs="方正小标宋_GBK"/>
          <w:color w:val="auto"/>
          <w:kern w:val="0"/>
          <w:sz w:val="43"/>
          <w:szCs w:val="43"/>
          <w:lang w:val="en-US" w:eastAsia="zh-CN" w:bidi="ar"/>
        </w:rPr>
        <w:t>202</w:t>
      </w:r>
      <w:r>
        <w:rPr>
          <w:rFonts w:hint="eastAsia" w:ascii="方正小标宋_GBK" w:hAnsi="方正小标宋_GBK" w:eastAsia="方正小标宋_GBK" w:cs="方正小标宋_GBK"/>
          <w:color w:val="auto"/>
          <w:kern w:val="0"/>
          <w:sz w:val="43"/>
          <w:szCs w:val="43"/>
          <w:lang w:val="en-US" w:eastAsia="zh-CN" w:bidi="ar"/>
        </w:rPr>
        <w:t>4</w:t>
      </w:r>
      <w:r>
        <w:rPr>
          <w:rFonts w:ascii="方正小标宋_GBK" w:hAnsi="方正小标宋_GBK" w:eastAsia="方正小标宋_GBK" w:cs="方正小标宋_GBK"/>
          <w:color w:val="auto"/>
          <w:kern w:val="0"/>
          <w:sz w:val="43"/>
          <w:szCs w:val="43"/>
          <w:lang w:val="en-US" w:eastAsia="zh-CN" w:bidi="ar"/>
        </w:rPr>
        <w:t>年花都区“安全生产月”</w:t>
      </w:r>
      <w:r>
        <w:rPr>
          <w:rFonts w:hint="eastAsia" w:ascii="方正小标宋_GBK" w:hAnsi="方正小标宋_GBK" w:eastAsia="方正小标宋_GBK" w:cs="方正小标宋_GBK"/>
          <w:color w:val="auto"/>
          <w:kern w:val="0"/>
          <w:sz w:val="43"/>
          <w:szCs w:val="43"/>
          <w:lang w:val="en-US" w:eastAsia="zh-CN" w:bidi="ar"/>
        </w:rPr>
        <w:t>和“安全生产</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560" w:lineRule="exact"/>
        <w:jc w:val="center"/>
        <w:textAlignment w:val="auto"/>
        <w:rPr>
          <w:rFonts w:hint="eastAsia" w:ascii="方正小标宋_GBK" w:hAnsi="方正小标宋_GBK" w:eastAsia="方正小标宋_GBK" w:cs="方正小标宋_GBK"/>
          <w:color w:val="auto"/>
          <w:kern w:val="0"/>
          <w:sz w:val="43"/>
          <w:szCs w:val="43"/>
          <w:lang w:val="en-US" w:eastAsia="zh-CN" w:bidi="ar"/>
        </w:rPr>
      </w:pPr>
      <w:r>
        <w:rPr>
          <w:rFonts w:hint="eastAsia" w:ascii="方正小标宋_GBK" w:hAnsi="方正小标宋_GBK" w:eastAsia="方正小标宋_GBK" w:cs="方正小标宋_GBK"/>
          <w:color w:val="auto"/>
          <w:kern w:val="0"/>
          <w:sz w:val="43"/>
          <w:szCs w:val="43"/>
          <w:lang w:val="en-US" w:eastAsia="zh-CN" w:bidi="ar"/>
        </w:rPr>
        <w:t>花都行”活动责任项目清单</w:t>
      </w:r>
    </w:p>
    <w:p>
      <w:pPr>
        <w:pStyle w:val="2"/>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textAlignment w:val="auto"/>
        <w:rPr>
          <w:rFonts w:hint="eastAsia" w:ascii="黑体" w:hAnsi="黑体" w:eastAsia="黑体" w:cs="黑体"/>
          <w:color w:val="auto"/>
          <w:sz w:val="32"/>
          <w:szCs w:val="32"/>
          <w:lang w:val="en-US" w:eastAsia="zh-CN"/>
        </w:rPr>
      </w:pPr>
    </w:p>
    <w:p>
      <w:pPr>
        <w:pStyle w:val="2"/>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6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区安委办（区应急管理局）活动责任项目清单</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jc w:val="center"/>
        <w:textAlignment w:val="auto"/>
        <w:rPr>
          <w:rFonts w:hint="eastAsia"/>
          <w:color w:val="auto"/>
          <w:lang w:val="en-US" w:eastAsia="zh-CN"/>
        </w:rPr>
      </w:pPr>
      <w:r>
        <w:rPr>
          <w:rFonts w:hint="eastAsia" w:ascii="仿宋_GB2312" w:hAnsi="仿宋_GB2312" w:eastAsia="仿宋_GB2312" w:cs="仿宋_GB2312"/>
          <w:color w:val="auto"/>
          <w:sz w:val="32"/>
          <w:szCs w:val="32"/>
          <w:lang w:val="en-US" w:eastAsia="zh-CN"/>
        </w:rPr>
        <w:t>（包含但不仅限于以下项目，可结合实际丰富活动内容和形式）</w:t>
      </w:r>
    </w:p>
    <w:tbl>
      <w:tblPr>
        <w:tblStyle w:val="10"/>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6410"/>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 w:type="pct"/>
          </w:tcPr>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序号</w:t>
            </w:r>
          </w:p>
        </w:tc>
        <w:tc>
          <w:tcPr>
            <w:tcW w:w="3443" w:type="pct"/>
          </w:tcPr>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活动项目</w:t>
            </w:r>
          </w:p>
        </w:tc>
        <w:tc>
          <w:tcPr>
            <w:tcW w:w="1056" w:type="pct"/>
          </w:tcPr>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3443"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组织召开区“安全生产月”活动动员会，通报全区安全生产形势、介绍“安全生产月”活动安排并部署有关工作。</w:t>
            </w:r>
          </w:p>
        </w:tc>
        <w:tc>
          <w:tcPr>
            <w:tcW w:w="10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5月31日前完成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00"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3443"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发表区领导署名文章，号召全区开展“安全生产月”活动。</w:t>
            </w:r>
          </w:p>
        </w:tc>
        <w:tc>
          <w:tcPr>
            <w:tcW w:w="10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6月1日前完成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3443"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组织“我承诺 我践行--当好安全责任人”宣誓活动。</w:t>
            </w:r>
          </w:p>
        </w:tc>
        <w:tc>
          <w:tcPr>
            <w:tcW w:w="10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6月1日前完成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00"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3443"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深入宣传贯彻习近平总书记关于安全生产重要论述，组织开展“应急管理大讲堂”活动。</w:t>
            </w:r>
          </w:p>
        </w:tc>
        <w:tc>
          <w:tcPr>
            <w:tcW w:w="10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6月25日前完成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3443"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组织“万企”安全生产管理工作经验交流会。</w:t>
            </w:r>
          </w:p>
        </w:tc>
        <w:tc>
          <w:tcPr>
            <w:tcW w:w="10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6月10日前完成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500"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3443"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组织“安全生产大家谈”活动，联合花都融媒体开设宣传专栏，收集汇总各单位学习心得体会或安全生产调研材料，分5期专题报道，每期刊登1-2篇。</w:t>
            </w:r>
          </w:p>
        </w:tc>
        <w:tc>
          <w:tcPr>
            <w:tcW w:w="10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6月28日前完成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3443"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组织开展区级“安全宣传咨询日”活动。</w:t>
            </w:r>
          </w:p>
        </w:tc>
        <w:tc>
          <w:tcPr>
            <w:tcW w:w="10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6月13日前完成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3443"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组织开展“三防”知识竞赛活动。</w:t>
            </w:r>
          </w:p>
        </w:tc>
        <w:tc>
          <w:tcPr>
            <w:tcW w:w="10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6月25日前完成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w:t>
            </w:r>
          </w:p>
        </w:tc>
        <w:tc>
          <w:tcPr>
            <w:tcW w:w="3443"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营造浓厚的社会面宣传氛围。提供习近平总书记关于安全生产重要论述学习素材、警示教育视频，设计制作主题宣传海报。</w:t>
            </w:r>
          </w:p>
        </w:tc>
        <w:tc>
          <w:tcPr>
            <w:tcW w:w="1056"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6月3日前完成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3443"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组织“1+N”支安全宣传小分队下基层巡回宣传活动。建立区、镇（街）两级安全宣讲员队伍，开展12场区级宣传活动。</w:t>
            </w:r>
          </w:p>
        </w:tc>
        <w:tc>
          <w:tcPr>
            <w:tcW w:w="10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持续至12月30日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3443"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统筹发挥全区各行业、各单位应急安全文化教育场所、体验场馆宣传作用，向社会公布场所（场馆）安全文化具体信息。</w:t>
            </w:r>
          </w:p>
        </w:tc>
        <w:tc>
          <w:tcPr>
            <w:tcW w:w="1056"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7月30日前完成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w:t>
            </w:r>
          </w:p>
        </w:tc>
        <w:tc>
          <w:tcPr>
            <w:tcW w:w="3443" w:type="pct"/>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组织开展优秀安全宣传作品展播活动，在区美术馆开展为期一周获奖作品展览。</w:t>
            </w:r>
          </w:p>
        </w:tc>
        <w:tc>
          <w:tcPr>
            <w:tcW w:w="1056"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8月30日前完成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500"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w:t>
            </w:r>
          </w:p>
        </w:tc>
        <w:tc>
          <w:tcPr>
            <w:tcW w:w="3443"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建设“平安加油站”宣传阵地。打造2个试点加油站，以点带面，推动全区67个加油站全覆盖宣传。</w:t>
            </w:r>
          </w:p>
        </w:tc>
        <w:tc>
          <w:tcPr>
            <w:tcW w:w="10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持续至12月30日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w:t>
            </w:r>
          </w:p>
        </w:tc>
        <w:tc>
          <w:tcPr>
            <w:tcW w:w="3443"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开展安全生产举报奖励制度宣传，对典型案例进行曝光。</w:t>
            </w:r>
          </w:p>
        </w:tc>
        <w:tc>
          <w:tcPr>
            <w:tcW w:w="10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持续至12月30日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w:t>
            </w:r>
          </w:p>
        </w:tc>
        <w:tc>
          <w:tcPr>
            <w:tcW w:w="3443" w:type="pct"/>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组织“安全生产月”和“安全生产花都行”专项工作督导检查。</w:t>
            </w:r>
          </w:p>
        </w:tc>
        <w:tc>
          <w:tcPr>
            <w:tcW w:w="1056"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6月中旬和8月、10月开展</w:t>
            </w:r>
          </w:p>
        </w:tc>
      </w:tr>
    </w:tbl>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sectPr>
          <w:footerReference r:id="rId3" w:type="default"/>
          <w:pgSz w:w="11906" w:h="16838"/>
          <w:pgMar w:top="1701" w:right="1417" w:bottom="1134" w:left="1417" w:header="851" w:footer="992" w:gutter="0"/>
          <w:pgNumType w:fmt="decimal"/>
          <w:cols w:space="720" w:num="1"/>
          <w:rtlGutter w:val="0"/>
          <w:docGrid w:type="lines" w:linePitch="312" w:charSpace="0"/>
        </w:sectPr>
      </w:pPr>
    </w:p>
    <w:p>
      <w:pPr>
        <w:pStyle w:val="2"/>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560" w:lineRule="exact"/>
        <w:ind w:left="0" w:leftChars="0" w:firstLine="596" w:firstLineChars="200"/>
        <w:textAlignment w:val="auto"/>
        <w:rPr>
          <w:rFonts w:hint="eastAsia" w:ascii="仿宋_GB2312" w:hAnsi="仿宋_GB2312" w:eastAsia="仿宋_GB2312" w:cs="仿宋_GB2312"/>
          <w:color w:val="auto"/>
          <w:spacing w:val="-11"/>
          <w:sz w:val="32"/>
          <w:szCs w:val="32"/>
          <w:lang w:val="en-US" w:eastAsia="zh-CN"/>
        </w:rPr>
      </w:pPr>
      <w:r>
        <w:rPr>
          <w:rFonts w:hint="eastAsia" w:ascii="黑体" w:hAnsi="黑体" w:eastAsia="黑体" w:cs="黑体"/>
          <w:color w:val="auto"/>
          <w:spacing w:val="-11"/>
          <w:sz w:val="32"/>
          <w:szCs w:val="32"/>
        </w:rPr>
        <w:t>区安委会成员单位</w:t>
      </w:r>
      <w:r>
        <w:rPr>
          <w:rFonts w:hint="eastAsia" w:ascii="黑体" w:hAnsi="黑体" w:eastAsia="黑体" w:cs="黑体"/>
          <w:color w:val="auto"/>
          <w:spacing w:val="-11"/>
          <w:sz w:val="32"/>
          <w:szCs w:val="32"/>
          <w:lang w:eastAsia="zh-CN"/>
        </w:rPr>
        <w:t>（</w:t>
      </w:r>
      <w:r>
        <w:rPr>
          <w:rFonts w:hint="eastAsia" w:ascii="黑体" w:hAnsi="黑体" w:eastAsia="黑体" w:cs="黑体"/>
          <w:color w:val="auto"/>
          <w:spacing w:val="-11"/>
          <w:sz w:val="32"/>
          <w:szCs w:val="32"/>
          <w:lang w:val="en-US" w:eastAsia="zh-CN"/>
        </w:rPr>
        <w:t>负有安全监管职能的部门</w:t>
      </w:r>
      <w:r>
        <w:rPr>
          <w:rFonts w:hint="eastAsia" w:ascii="黑体" w:hAnsi="黑体" w:eastAsia="黑体" w:cs="黑体"/>
          <w:color w:val="auto"/>
          <w:spacing w:val="-11"/>
          <w:sz w:val="32"/>
          <w:szCs w:val="32"/>
          <w:lang w:eastAsia="zh-CN"/>
        </w:rPr>
        <w:t>）</w:t>
      </w:r>
      <w:r>
        <w:rPr>
          <w:rFonts w:hint="eastAsia" w:ascii="黑体" w:hAnsi="黑体" w:eastAsia="黑体" w:cs="黑体"/>
          <w:color w:val="auto"/>
          <w:spacing w:val="-11"/>
          <w:sz w:val="32"/>
          <w:szCs w:val="32"/>
          <w:lang w:val="en-US" w:eastAsia="zh-CN"/>
        </w:rPr>
        <w:t>活动责任项目清单</w:t>
      </w:r>
      <w:r>
        <w:rPr>
          <w:rFonts w:hint="eastAsia" w:ascii="仿宋_GB2312" w:hAnsi="仿宋_GB2312" w:eastAsia="仿宋_GB2312" w:cs="仿宋_GB2312"/>
          <w:color w:val="auto"/>
          <w:spacing w:val="-11"/>
          <w:sz w:val="32"/>
          <w:szCs w:val="32"/>
          <w:lang w:val="en-US" w:eastAsia="zh-CN"/>
        </w:rPr>
        <w:t>（包含但不仅限于以下项目，可结合实际丰富活动内容和形式）</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3270"/>
        <w:gridCol w:w="3120"/>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2"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eastAsia"/>
                <w:color w:val="auto"/>
                <w:vertAlign w:val="baseline"/>
                <w:lang w:val="en-US" w:eastAsia="zh-CN"/>
              </w:rPr>
            </w:pPr>
            <w:r>
              <w:rPr>
                <w:rFonts w:hint="eastAsia" w:ascii="黑体" w:hAnsi="黑体" w:eastAsia="黑体" w:cs="黑体"/>
                <w:color w:val="auto"/>
                <w:sz w:val="28"/>
                <w:szCs w:val="28"/>
                <w:vertAlign w:val="baseline"/>
                <w:lang w:val="en-US" w:eastAsia="zh-CN"/>
              </w:rPr>
              <w:t>序号</w:t>
            </w:r>
          </w:p>
        </w:tc>
        <w:tc>
          <w:tcPr>
            <w:tcW w:w="1761"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eastAsia"/>
                <w:color w:val="auto"/>
                <w:sz w:val="22"/>
                <w:szCs w:val="28"/>
                <w:lang w:val="en-US" w:eastAsia="zh-CN"/>
              </w:rPr>
            </w:pPr>
            <w:r>
              <w:rPr>
                <w:rFonts w:hint="eastAsia" w:ascii="黑体" w:hAnsi="黑体" w:eastAsia="黑体" w:cs="黑体"/>
                <w:color w:val="auto"/>
                <w:sz w:val="28"/>
                <w:szCs w:val="28"/>
                <w:vertAlign w:val="baseline"/>
                <w:lang w:val="en-US" w:eastAsia="zh-CN"/>
              </w:rPr>
              <w:t>活动项目</w:t>
            </w:r>
          </w:p>
        </w:tc>
        <w:tc>
          <w:tcPr>
            <w:tcW w:w="1680" w:type="pct"/>
            <w:vAlign w:val="center"/>
          </w:tcPr>
          <w:p>
            <w:pPr>
              <w:keepNext w:val="0"/>
              <w:keepLines w:val="0"/>
              <w:pageBreakBefore w:val="0"/>
              <w:widowControl w:val="0"/>
              <w:tabs>
                <w:tab w:val="left" w:pos="445"/>
              </w:tabs>
              <w:kinsoku/>
              <w:wordWrap/>
              <w:overflowPunct w:val="0"/>
              <w:topLinePunct w:val="0"/>
              <w:autoSpaceDE w:val="0"/>
              <w:autoSpaceDN w:val="0"/>
              <w:bidi w:val="0"/>
              <w:adjustRightInd w:val="0"/>
              <w:snapToGrid w:val="0"/>
              <w:spacing w:line="56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责任单位</w:t>
            </w:r>
          </w:p>
        </w:tc>
        <w:tc>
          <w:tcPr>
            <w:tcW w:w="1055"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eastAsia"/>
                <w:color w:val="auto"/>
                <w:lang w:val="en-US" w:eastAsia="zh-CN"/>
              </w:rPr>
            </w:pPr>
            <w:r>
              <w:rPr>
                <w:rFonts w:hint="eastAsia" w:ascii="黑体" w:hAnsi="黑体" w:eastAsia="黑体" w:cs="黑体"/>
                <w:color w:val="auto"/>
                <w:sz w:val="28"/>
                <w:szCs w:val="28"/>
                <w:vertAlign w:val="baseli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761"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深入宣传贯彻习近平总书记关于安全生产重要论述，组织观看《安全生产 责任在肩》等警示教育片。</w:t>
            </w:r>
          </w:p>
        </w:tc>
        <w:tc>
          <w:tcPr>
            <w:tcW w:w="168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区委宣传部负责区委理论中心组学习；区应急管理局提供学习素材，区安委会各成员单位分别负责本单位学习工作。</w:t>
            </w:r>
          </w:p>
        </w:tc>
        <w:tc>
          <w:tcPr>
            <w:tcW w:w="1055"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6月20日前完成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761"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开展“安全生产大家谈”活动，区安委会成员单位主要领导或分管领导至少开展1场安全宣讲，报送1篇学习心得体会或安全生产调研材料。</w:t>
            </w:r>
          </w:p>
        </w:tc>
        <w:tc>
          <w:tcPr>
            <w:tcW w:w="168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区安委会各成员单位。</w:t>
            </w:r>
          </w:p>
        </w:tc>
        <w:tc>
          <w:tcPr>
            <w:tcW w:w="1055"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6月20日前完成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1761"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开展“安康杯”竞赛活动。</w:t>
            </w:r>
          </w:p>
        </w:tc>
        <w:tc>
          <w:tcPr>
            <w:tcW w:w="168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区总工会牵头，区卫生健康局、区应急管理局配合。</w:t>
            </w:r>
          </w:p>
        </w:tc>
        <w:tc>
          <w:tcPr>
            <w:tcW w:w="1055"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7月上旬完成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1761"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开展校园安全知识竞赛活动。</w:t>
            </w:r>
          </w:p>
        </w:tc>
        <w:tc>
          <w:tcPr>
            <w:tcW w:w="168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区教育局牵头，区城市管理和综合执法局、区交通运输局、区消防救援大队、区应急管理局、市公安局花都区分局配合。</w:t>
            </w:r>
          </w:p>
        </w:tc>
        <w:tc>
          <w:tcPr>
            <w:tcW w:w="1055"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6月中旬完成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trPr>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1761"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开展情景模拟、实战推演应急演练。负有安全生产监管职责的行业主管部门开展1场应急演练。</w:t>
            </w:r>
          </w:p>
        </w:tc>
        <w:tc>
          <w:tcPr>
            <w:tcW w:w="168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区水务局开展供水突发事件应急演练；区农业农村局开展渔船防台风、渔港安全应急演练；区市场监管局开展压力容器和电梯应急救援演练；区城市管理和综合执法局开展城镇燃气突发事件应急抢险救援综合演练。</w:t>
            </w:r>
          </w:p>
        </w:tc>
        <w:tc>
          <w:tcPr>
            <w:tcW w:w="1055"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6月22日前完成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1761"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开展避险逃生公开课、逃生体验活动。</w:t>
            </w:r>
          </w:p>
        </w:tc>
        <w:tc>
          <w:tcPr>
            <w:tcW w:w="168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区教育组织区内各学校围绕道路交通、消防、地震逃生、防溺水和防踩踏事故开展1场应急演练；区文广旅体局组织区内旅游景区围绕地质灾害、消防、防踩踏等内容开展1场疏散逃生演练；区消防救援大队围绕区内高层建筑、大型商业综合体等场所开展1场消防逃生演练。</w:t>
            </w:r>
          </w:p>
        </w:tc>
        <w:tc>
          <w:tcPr>
            <w:tcW w:w="1055"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6月22日前完成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9" w:hRule="atLeast"/>
        </w:trPr>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1761"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营造浓厚的社会面宣传氛围。充分利用海报、动漫、短视频等多元化形式，扩大宣传面和影响力。</w:t>
            </w:r>
          </w:p>
        </w:tc>
        <w:tc>
          <w:tcPr>
            <w:tcW w:w="168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区委宣传部负责统筹公益宣传平台资源调配，利用全区各户外LED电子屏幕滚动播出宣传视频和海报；区文广旅体局负责在区文化馆、图书馆、洪秀全纪念馆、广州民俗博物馆等文化场馆、A级旅游景区LED屏刊播视频和海报；区科工商信局负责商贸场所LED屏刊播视频和海报；区城市管理和综合执法局负责公园LED屏刊播视频和海报；区气象局负责通过手机短信平台发送全区安全提示信息；花都区融媒体中心负责广播电视、电台、报纸、自媒体平台开展公益宣传。</w:t>
            </w:r>
          </w:p>
        </w:tc>
        <w:tc>
          <w:tcPr>
            <w:tcW w:w="1055"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持续至6月30日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1761"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开展2场“安全进校园”集中宣传活动。</w:t>
            </w:r>
          </w:p>
        </w:tc>
        <w:tc>
          <w:tcPr>
            <w:tcW w:w="168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区教育局负责具体实施，区安委会有关成员单位配合。</w:t>
            </w:r>
          </w:p>
        </w:tc>
        <w:tc>
          <w:tcPr>
            <w:tcW w:w="1055" w:type="pct"/>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12月20日前完成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w:t>
            </w:r>
          </w:p>
        </w:tc>
        <w:tc>
          <w:tcPr>
            <w:tcW w:w="1761"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利用安全文化场所（场馆）开展宣传活动，向社会公布场所（场馆）安全文化内容和体验设施设备、开放时间、收费情况等具体信息，定期组织企业职工、学生、村（居）民、社会公众参观体验。</w:t>
            </w:r>
          </w:p>
        </w:tc>
        <w:tc>
          <w:tcPr>
            <w:tcW w:w="168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区应急管理局、区教育局、区气象局、区消防救援大队及其他区内安全文化场所（场馆）权属单位分工负责。</w:t>
            </w:r>
          </w:p>
        </w:tc>
        <w:tc>
          <w:tcPr>
            <w:tcW w:w="1055"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持续至12月30日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502"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1761"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开展“治本攻坚三年行动”专题宣传。</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c>
          <w:tcPr>
            <w:tcW w:w="168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区安委会成员单位按照《花都区安全生产治本攻坚三年行动实施方案（2024-2026年）》要求落实。</w:t>
            </w:r>
          </w:p>
        </w:tc>
        <w:tc>
          <w:tcPr>
            <w:tcW w:w="1055"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持续至12月30日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502"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1761"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突出重点行业领域隐患排查宣传。结合“重大事故隐患排查整治”“打非治违”“安全生产大检查”“明查暗访”等工作，推动本行业企业自主开展隐患排查，积极查找身边的安全隐患。</w:t>
            </w:r>
          </w:p>
        </w:tc>
        <w:tc>
          <w:tcPr>
            <w:tcW w:w="168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负有安全生产监管职责的部门。</w:t>
            </w:r>
          </w:p>
        </w:tc>
        <w:tc>
          <w:tcPr>
            <w:tcW w:w="1055"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持续至12月30日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502"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w:t>
            </w:r>
          </w:p>
        </w:tc>
        <w:tc>
          <w:tcPr>
            <w:tcW w:w="1761"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突出安全生产举报奖励宣传。持续宣传安全生产举报奖励办法，举报重大隐患和违法违规行为，每季度向区安委办报送1条重大隐患典型案例。</w:t>
            </w:r>
          </w:p>
        </w:tc>
        <w:tc>
          <w:tcPr>
            <w:tcW w:w="168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负有安全生产监管职责的部门。</w:t>
            </w:r>
          </w:p>
        </w:tc>
        <w:tc>
          <w:tcPr>
            <w:tcW w:w="1055"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持续至12月30日</w:t>
            </w:r>
          </w:p>
        </w:tc>
      </w:tr>
    </w:tbl>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auto"/>
        <w:rPr>
          <w:rFonts w:hint="eastAsia"/>
          <w:color w:val="auto"/>
          <w:lang w:val="en-US" w:eastAsia="zh-CN"/>
        </w:rPr>
        <w:sectPr>
          <w:pgSz w:w="11906" w:h="16838"/>
          <w:pgMar w:top="1417" w:right="1417" w:bottom="1134" w:left="1417" w:header="851" w:footer="992" w:gutter="0"/>
          <w:pgNumType w:fmt="decimal"/>
          <w:cols w:space="0" w:num="1"/>
          <w:rtlGutter w:val="0"/>
          <w:docGrid w:type="lines" w:linePitch="312" w:charSpace="0"/>
        </w:sectPr>
      </w:pPr>
    </w:p>
    <w:p>
      <w:pPr>
        <w:pStyle w:val="2"/>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三、各镇（街）、管委会（办）活动责任项目清单</w:t>
      </w:r>
      <w:r>
        <w:rPr>
          <w:rFonts w:hint="eastAsia" w:ascii="仿宋_GB2312" w:hAnsi="仿宋_GB2312" w:eastAsia="仿宋_GB2312" w:cs="仿宋_GB2312"/>
          <w:color w:val="auto"/>
          <w:sz w:val="32"/>
          <w:szCs w:val="32"/>
          <w:lang w:val="en-US" w:eastAsia="zh-CN"/>
        </w:rPr>
        <w:t>（包含但不仅限于以下项目，可结合实际丰富活动内容和形式）</w:t>
      </w:r>
    </w:p>
    <w:tbl>
      <w:tblPr>
        <w:tblStyle w:val="10"/>
        <w:tblW w:w="50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6080"/>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vAlign w:val="top"/>
          </w:tcPr>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eastAsia"/>
                <w:color w:val="auto"/>
                <w:sz w:val="21"/>
                <w:szCs w:val="24"/>
                <w:vertAlign w:val="baseline"/>
                <w:lang w:val="en-US" w:eastAsia="zh-CN"/>
              </w:rPr>
            </w:pPr>
            <w:r>
              <w:rPr>
                <w:rFonts w:hint="eastAsia" w:ascii="黑体" w:hAnsi="黑体" w:eastAsia="黑体" w:cs="黑体"/>
                <w:color w:val="auto"/>
                <w:sz w:val="28"/>
                <w:szCs w:val="28"/>
                <w:vertAlign w:val="baseline"/>
                <w:lang w:val="en-US" w:eastAsia="zh-CN"/>
              </w:rPr>
              <w:t>序号</w:t>
            </w:r>
          </w:p>
        </w:tc>
        <w:tc>
          <w:tcPr>
            <w:tcW w:w="3269" w:type="pct"/>
            <w:vAlign w:val="top"/>
          </w:tcPr>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eastAsia"/>
                <w:color w:val="auto"/>
                <w:sz w:val="21"/>
                <w:szCs w:val="24"/>
                <w:vertAlign w:val="baseline"/>
                <w:lang w:val="en-US" w:eastAsia="zh-CN"/>
              </w:rPr>
            </w:pPr>
            <w:r>
              <w:rPr>
                <w:rFonts w:hint="eastAsia" w:ascii="黑体" w:hAnsi="黑体" w:eastAsia="黑体" w:cs="黑体"/>
                <w:color w:val="auto"/>
                <w:sz w:val="28"/>
                <w:szCs w:val="28"/>
                <w:vertAlign w:val="baseline"/>
                <w:lang w:val="en-US" w:eastAsia="zh-CN"/>
              </w:rPr>
              <w:t>活动项目</w:t>
            </w:r>
          </w:p>
        </w:tc>
        <w:tc>
          <w:tcPr>
            <w:tcW w:w="1049" w:type="pct"/>
            <w:vAlign w:val="top"/>
          </w:tcPr>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eastAsia"/>
                <w:color w:val="auto"/>
                <w:sz w:val="21"/>
                <w:szCs w:val="24"/>
                <w:vertAlign w:val="baseline"/>
                <w:lang w:val="en-US" w:eastAsia="zh-CN"/>
              </w:rPr>
            </w:pPr>
            <w:r>
              <w:rPr>
                <w:rFonts w:hint="eastAsia" w:ascii="黑体" w:hAnsi="黑体" w:eastAsia="黑体" w:cs="黑体"/>
                <w:color w:val="auto"/>
                <w:sz w:val="28"/>
                <w:szCs w:val="28"/>
                <w:vertAlign w:val="baseli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81"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3269"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深入宣传贯彻习近平总书记关于安全生产重要论述，组织本单位职工以及辖区内企业主要负责人和安全管理人员、村（居）委书记（主任）观看《安全生产 责任在肩》等警示教育片。</w:t>
            </w:r>
          </w:p>
        </w:tc>
        <w:tc>
          <w:tcPr>
            <w:tcW w:w="1049"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6月20日前完成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81"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3269"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开展“安全生产大家谈”活动，主要领导或分管领导至少开展1场安全宣讲，报送1篇学习心得体会或安全生产调研材料。</w:t>
            </w:r>
          </w:p>
        </w:tc>
        <w:tc>
          <w:tcPr>
            <w:tcW w:w="1049"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6月20日前完成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81"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3269"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结合本辖区安全生产工作特点，组织1场 “安全宣传咨询日”活动。</w:t>
            </w:r>
          </w:p>
        </w:tc>
        <w:tc>
          <w:tcPr>
            <w:tcW w:w="1049"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6月22日前完成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81"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3269"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开展避险逃生公开课、逃生体验活动。在工业园区集中生产经营单位开展1场疏散逃生演练。</w:t>
            </w:r>
          </w:p>
        </w:tc>
        <w:tc>
          <w:tcPr>
            <w:tcW w:w="1049"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6月22日前完成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81"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3269"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营造浓厚的社会面宣传氛围，负责落实本辖区非A级旅游景区、企业、村（居）LED屏和其他宣传栏刊播。</w:t>
            </w:r>
          </w:p>
        </w:tc>
        <w:tc>
          <w:tcPr>
            <w:tcW w:w="1049"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持续至6月30日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81"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3269"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开展“1+N”支安全宣传小分队下基层巡回宣传。从6月起，各镇（街）小分队每月开展不少于2场宣传活动。</w:t>
            </w:r>
          </w:p>
        </w:tc>
        <w:tc>
          <w:tcPr>
            <w:tcW w:w="1049"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持续至12月30日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81"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3269"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狮岭镇、花山镇、炭步镇各开展1场“安全进企业”集中宣传活动。</w:t>
            </w:r>
          </w:p>
        </w:tc>
        <w:tc>
          <w:tcPr>
            <w:tcW w:w="1049"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12月20日前完成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81"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3269"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赤坭镇、梯面镇各开展1场“安全进农村”集中宣传活动。</w:t>
            </w:r>
          </w:p>
        </w:tc>
        <w:tc>
          <w:tcPr>
            <w:tcW w:w="1049"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12月20日前完成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81"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w:t>
            </w:r>
          </w:p>
        </w:tc>
        <w:tc>
          <w:tcPr>
            <w:tcW w:w="3269"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新华街、新雅街、花城街各开展1场“安全进社区”集中宣传活动。</w:t>
            </w:r>
          </w:p>
        </w:tc>
        <w:tc>
          <w:tcPr>
            <w:tcW w:w="1049"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12月20日前完成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3269"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秀全街、花东镇各开展1场“安全进家庭”集中宣传活动。</w:t>
            </w:r>
          </w:p>
        </w:tc>
        <w:tc>
          <w:tcPr>
            <w:tcW w:w="1049"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12月20日前完成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81"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3269"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各镇（街）升级完善镇（街）安全文化口袋公园，打造1个安全文化广场、1条村（居）安全文化长廊。</w:t>
            </w:r>
          </w:p>
        </w:tc>
        <w:tc>
          <w:tcPr>
            <w:tcW w:w="1049"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12月20日前完成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81"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w:t>
            </w:r>
          </w:p>
        </w:tc>
        <w:tc>
          <w:tcPr>
            <w:tcW w:w="3269"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开展“治本攻坚三年行动”专题宣传，按照《花都区安全生产治本攻坚三年行动实施方案（2024-2026年）》要求落实。</w:t>
            </w:r>
          </w:p>
        </w:tc>
        <w:tc>
          <w:tcPr>
            <w:tcW w:w="1049"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持续至12月30日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681"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w:t>
            </w:r>
          </w:p>
        </w:tc>
        <w:tc>
          <w:tcPr>
            <w:tcW w:w="3269"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结合“重大事故隐患排查整治”“打非治违”“安全生产检查”等工作，开展隐患排查，积极查找身边的安全隐患。</w:t>
            </w:r>
          </w:p>
        </w:tc>
        <w:tc>
          <w:tcPr>
            <w:tcW w:w="1049"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持续至12月30日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81"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w:t>
            </w:r>
          </w:p>
        </w:tc>
        <w:tc>
          <w:tcPr>
            <w:tcW w:w="3269"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持续宣传安全生产举报奖励办法，推动企业员工举报重大隐患和违法违规行为，每月向区安委办报送1条重大隐患典型案。</w:t>
            </w:r>
          </w:p>
        </w:tc>
        <w:tc>
          <w:tcPr>
            <w:tcW w:w="1049"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持续至12月30日</w:t>
            </w:r>
          </w:p>
        </w:tc>
      </w:tr>
    </w:tbl>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auto"/>
        <w:rPr>
          <w:rFonts w:hint="eastAsia"/>
          <w:color w:val="auto"/>
          <w:lang w:val="en-US" w:eastAsia="zh-CN"/>
        </w:rPr>
        <w:sectPr>
          <w:pgSz w:w="11906" w:h="16838"/>
          <w:pgMar w:top="1417" w:right="1417" w:bottom="1134" w:left="1417" w:header="851" w:footer="992" w:gutter="0"/>
          <w:pgNumType w:fmt="decimal"/>
          <w:cols w:space="0" w:num="1"/>
          <w:rtlGutter w:val="0"/>
          <w:docGrid w:type="lines" w:linePitch="312" w:charSpace="0"/>
        </w:sectPr>
      </w:pPr>
    </w:p>
    <w:p>
      <w:pPr>
        <w:pStyle w:val="2"/>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四、企业活动责任项目清单</w:t>
      </w:r>
      <w:r>
        <w:rPr>
          <w:rFonts w:hint="eastAsia" w:ascii="仿宋_GB2312" w:hAnsi="仿宋_GB2312" w:eastAsia="仿宋_GB2312" w:cs="仿宋_GB2312"/>
          <w:color w:val="auto"/>
          <w:sz w:val="32"/>
          <w:szCs w:val="32"/>
          <w:lang w:val="en-US" w:eastAsia="zh-CN"/>
        </w:rPr>
        <w:t>（包含但不仅限于以下项目，可结合实际丰富活动内容和形式）</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4222"/>
        <w:gridCol w:w="2167"/>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 w:type="pct"/>
            <w:vAlign w:val="top"/>
          </w:tcPr>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eastAsia"/>
                <w:color w:val="auto"/>
                <w:vertAlign w:val="baseline"/>
                <w:lang w:val="en-US" w:eastAsia="zh-CN"/>
              </w:rPr>
            </w:pPr>
            <w:r>
              <w:rPr>
                <w:rFonts w:hint="eastAsia" w:ascii="黑体" w:hAnsi="黑体" w:eastAsia="黑体" w:cs="黑体"/>
                <w:color w:val="auto"/>
                <w:sz w:val="28"/>
                <w:szCs w:val="28"/>
                <w:vertAlign w:val="baseline"/>
                <w:lang w:val="en-US" w:eastAsia="zh-CN"/>
              </w:rPr>
              <w:t>序号</w:t>
            </w:r>
          </w:p>
        </w:tc>
        <w:tc>
          <w:tcPr>
            <w:tcW w:w="2274" w:type="pct"/>
            <w:vAlign w:val="top"/>
          </w:tcPr>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eastAsia"/>
                <w:color w:val="auto"/>
                <w:vertAlign w:val="baseline"/>
                <w:lang w:val="en-US" w:eastAsia="zh-CN"/>
              </w:rPr>
            </w:pPr>
            <w:r>
              <w:rPr>
                <w:rFonts w:hint="eastAsia" w:ascii="黑体" w:hAnsi="黑体" w:eastAsia="黑体" w:cs="黑体"/>
                <w:color w:val="auto"/>
                <w:sz w:val="28"/>
                <w:szCs w:val="28"/>
                <w:vertAlign w:val="baseline"/>
                <w:lang w:val="en-US" w:eastAsia="zh-CN"/>
              </w:rPr>
              <w:t>活动项目</w:t>
            </w:r>
          </w:p>
        </w:tc>
        <w:tc>
          <w:tcPr>
            <w:tcW w:w="1167" w:type="pct"/>
            <w:vAlign w:val="top"/>
          </w:tcPr>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default"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监督指导单位</w:t>
            </w:r>
          </w:p>
        </w:tc>
        <w:tc>
          <w:tcPr>
            <w:tcW w:w="1060" w:type="pct"/>
            <w:vAlign w:val="top"/>
          </w:tcPr>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eastAsia"/>
                <w:color w:val="auto"/>
                <w:vertAlign w:val="baseline"/>
                <w:lang w:val="en-US" w:eastAsia="zh-CN"/>
              </w:rPr>
            </w:pPr>
            <w:r>
              <w:rPr>
                <w:rFonts w:hint="eastAsia" w:ascii="黑体" w:hAnsi="黑体" w:eastAsia="黑体" w:cs="黑体"/>
                <w:color w:val="auto"/>
                <w:sz w:val="28"/>
                <w:szCs w:val="28"/>
                <w:vertAlign w:val="baseli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498"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2274"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深入宣传贯彻习近平总书记关于安全生产重要论述，组织本企业员工观看《安全生产 责任在肩》等警示教育片。</w:t>
            </w:r>
          </w:p>
        </w:tc>
        <w:tc>
          <w:tcPr>
            <w:tcW w:w="1167"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负有安全生产监管职责的部门，各镇（街）、管委会（办）</w:t>
            </w:r>
          </w:p>
        </w:tc>
        <w:tc>
          <w:tcPr>
            <w:tcW w:w="106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6月20日前完成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498"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2274" w:type="pct"/>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开展“安全生产大家谈”活动，粉尘涉爆、有限空间作业、非煤矿山、危化品使用、铝加工等重点监管企业开展1场安全宣讲，报送1篇学习心得体会或安全生产调研材料。</w:t>
            </w:r>
          </w:p>
        </w:tc>
        <w:tc>
          <w:tcPr>
            <w:tcW w:w="1167"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区应急管理局</w:t>
            </w:r>
          </w:p>
        </w:tc>
        <w:tc>
          <w:tcPr>
            <w:tcW w:w="106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6月20日前完成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498"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2274"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根据企业所在行业领域事故特点开展1场从业人员自救互救技能培训和应急演练。</w:t>
            </w:r>
          </w:p>
        </w:tc>
        <w:tc>
          <w:tcPr>
            <w:tcW w:w="1167"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负有安全生产监管职责的部门，各镇（街）、管委会（办））</w:t>
            </w:r>
          </w:p>
        </w:tc>
        <w:tc>
          <w:tcPr>
            <w:tcW w:w="1060"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6月22日前完成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98"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2274"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营造浓厚的社会面宣传氛围，负责落实本企业LED屏和宣传栏刊播。</w:t>
            </w:r>
          </w:p>
        </w:tc>
        <w:tc>
          <w:tcPr>
            <w:tcW w:w="1167"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负有安全生产监管职责的部门，各镇（街）、管委会（办）</w:t>
            </w:r>
          </w:p>
        </w:tc>
        <w:tc>
          <w:tcPr>
            <w:tcW w:w="106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持续至6月30日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8"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2274"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开展“重大事故隐患排查整治”工作，落实企业安全隐患自查自纠。</w:t>
            </w:r>
          </w:p>
        </w:tc>
        <w:tc>
          <w:tcPr>
            <w:tcW w:w="1167"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负有安全生产监管职责的部门，各镇（街）、管委会（办）</w:t>
            </w:r>
          </w:p>
        </w:tc>
        <w:tc>
          <w:tcPr>
            <w:tcW w:w="106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持续至12月30日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498" w:type="pc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2274"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开展企业主要负责人“五带头”活动（带头排查整治重大事故隐患、带头排查整治外包外租等生产经营活动、带头开展事故应急救援演练、带头开展危险作业排查整治、带头落实全员安全生产岗位责任）。</w:t>
            </w:r>
          </w:p>
        </w:tc>
        <w:tc>
          <w:tcPr>
            <w:tcW w:w="1167"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负有安全生产监管职责的部门，各镇（街）、管委会（办）</w:t>
            </w:r>
          </w:p>
        </w:tc>
        <w:tc>
          <w:tcPr>
            <w:tcW w:w="106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持续至12月30日</w:t>
            </w:r>
          </w:p>
        </w:tc>
      </w:tr>
    </w:tbl>
    <w:p>
      <w:pPr>
        <w:rPr>
          <w:rFonts w:hint="eastAsia"/>
          <w:color w:val="auto"/>
          <w:lang w:val="en-US" w:eastAsia="zh-CN"/>
        </w:rPr>
        <w:sectPr>
          <w:pgSz w:w="11906" w:h="16838"/>
          <w:pgMar w:top="1417" w:right="1417" w:bottom="1134" w:left="1417" w:header="851" w:footer="992" w:gutter="0"/>
          <w:pgNumType w:fmt="decimal"/>
          <w:cols w:space="0" w:num="1"/>
          <w:rtlGutter w:val="0"/>
          <w:docGrid w:type="lines" w:linePitch="312" w:charSpace="0"/>
        </w:sectPr>
      </w:pPr>
    </w:p>
    <w:p>
      <w:pPr>
        <w:pStyle w:val="2"/>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textAlignment w:val="auto"/>
        <w:rPr>
          <w:rFonts w:hint="default"/>
          <w:color w:val="auto"/>
          <w:lang w:val="en-US" w:eastAsia="zh-CN"/>
        </w:rPr>
      </w:pPr>
      <w:r>
        <w:rPr>
          <w:rFonts w:hint="eastAsia" w:ascii="黑体" w:hAnsi="黑体" w:eastAsia="黑体" w:cs="黑体"/>
          <w:color w:val="auto"/>
          <w:sz w:val="32"/>
          <w:szCs w:val="32"/>
          <w:lang w:val="en-US" w:eastAsia="zh-CN"/>
        </w:rPr>
        <w:t>五、村（居）委活动责任项目清单</w:t>
      </w:r>
      <w:r>
        <w:rPr>
          <w:rFonts w:hint="eastAsia" w:ascii="仿宋_GB2312" w:hAnsi="仿宋_GB2312" w:eastAsia="仿宋_GB2312" w:cs="仿宋_GB2312"/>
          <w:color w:val="auto"/>
          <w:sz w:val="32"/>
          <w:szCs w:val="32"/>
          <w:lang w:val="en-US" w:eastAsia="zh-CN"/>
        </w:rPr>
        <w:t>（包含但不仅限于以下项目，可结合实际丰富活动内容</w:t>
      </w:r>
      <w:r>
        <w:rPr>
          <w:rFonts w:hint="eastAsia" w:cs="仿宋_GB2312"/>
          <w:color w:val="auto"/>
          <w:sz w:val="32"/>
          <w:szCs w:val="32"/>
          <w:lang w:val="en-US" w:eastAsia="zh-CN"/>
        </w:rPr>
        <w:t>和形式</w:t>
      </w:r>
      <w:r>
        <w:rPr>
          <w:rFonts w:hint="eastAsia" w:ascii="仿宋_GB2312" w:hAnsi="仿宋_GB2312" w:eastAsia="仿宋_GB2312" w:cs="仿宋_GB2312"/>
          <w:color w:val="auto"/>
          <w:sz w:val="32"/>
          <w:szCs w:val="32"/>
          <w:lang w:val="en-US"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4110"/>
        <w:gridCol w:w="2250"/>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keepNext w:val="0"/>
              <w:keepLines w:val="0"/>
              <w:widowControl/>
              <w:suppressLineNumbers w:val="0"/>
              <w:jc w:val="center"/>
              <w:textAlignment w:val="center"/>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i w:val="0"/>
                <w:iCs w:val="0"/>
                <w:color w:val="auto"/>
                <w:kern w:val="0"/>
                <w:sz w:val="28"/>
                <w:szCs w:val="28"/>
                <w:u w:val="none"/>
                <w:lang w:val="en-US" w:eastAsia="zh-CN" w:bidi="ar"/>
              </w:rPr>
              <w:t>序号</w:t>
            </w:r>
          </w:p>
        </w:tc>
        <w:tc>
          <w:tcPr>
            <w:tcW w:w="4110" w:type="dxa"/>
            <w:vAlign w:val="center"/>
          </w:tcPr>
          <w:p>
            <w:pPr>
              <w:keepNext w:val="0"/>
              <w:keepLines w:val="0"/>
              <w:widowControl/>
              <w:suppressLineNumbers w:val="0"/>
              <w:jc w:val="center"/>
              <w:textAlignment w:val="center"/>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i w:val="0"/>
                <w:iCs w:val="0"/>
                <w:color w:val="auto"/>
                <w:kern w:val="0"/>
                <w:sz w:val="28"/>
                <w:szCs w:val="28"/>
                <w:u w:val="none"/>
                <w:lang w:val="en-US" w:eastAsia="zh-CN" w:bidi="ar"/>
              </w:rPr>
              <w:t>活动项目</w:t>
            </w:r>
          </w:p>
        </w:tc>
        <w:tc>
          <w:tcPr>
            <w:tcW w:w="2250" w:type="dxa"/>
            <w:vAlign w:val="center"/>
          </w:tcPr>
          <w:p>
            <w:pPr>
              <w:keepNext w:val="0"/>
              <w:keepLines w:val="0"/>
              <w:widowControl/>
              <w:suppressLineNumbers w:val="0"/>
              <w:jc w:val="center"/>
              <w:textAlignment w:val="center"/>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i w:val="0"/>
                <w:iCs w:val="0"/>
                <w:color w:val="auto"/>
                <w:kern w:val="0"/>
                <w:sz w:val="28"/>
                <w:szCs w:val="28"/>
                <w:u w:val="none"/>
                <w:lang w:val="en-US" w:eastAsia="zh-CN" w:bidi="ar"/>
              </w:rPr>
              <w:t>监督指导单位</w:t>
            </w:r>
          </w:p>
        </w:tc>
        <w:tc>
          <w:tcPr>
            <w:tcW w:w="1906" w:type="dxa"/>
            <w:vAlign w:val="center"/>
          </w:tcPr>
          <w:p>
            <w:pPr>
              <w:keepNext w:val="0"/>
              <w:keepLines w:val="0"/>
              <w:widowControl/>
              <w:suppressLineNumbers w:val="0"/>
              <w:jc w:val="center"/>
              <w:textAlignment w:val="center"/>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i w:val="0"/>
                <w:iCs w:val="0"/>
                <w:color w:val="auto"/>
                <w:kern w:val="0"/>
                <w:sz w:val="28"/>
                <w:szCs w:val="28"/>
                <w:u w:val="none"/>
                <w:lang w:val="en-US" w:eastAsia="zh-CN" w:bidi="ar"/>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022" w:type="dxa"/>
            <w:vAlign w:val="center"/>
          </w:tcPr>
          <w:p>
            <w:pPr>
              <w:keepNext w:val="0"/>
              <w:keepLines w:val="0"/>
              <w:widowControl/>
              <w:suppressLineNumbers w:val="0"/>
              <w:jc w:val="center"/>
              <w:textAlignment w:val="center"/>
              <w:rPr>
                <w:rFonts w:hint="default"/>
                <w:color w:val="auto"/>
                <w:sz w:val="22"/>
                <w:szCs w:val="22"/>
                <w:vertAlign w:val="baseline"/>
                <w:lang w:val="en-US" w:eastAsia="zh-CN"/>
              </w:rPr>
            </w:pPr>
            <w:r>
              <w:rPr>
                <w:rFonts w:hint="eastAsia" w:ascii="宋体" w:hAnsi="宋体" w:cs="宋体"/>
                <w:i w:val="0"/>
                <w:iCs w:val="0"/>
                <w:color w:val="auto"/>
                <w:kern w:val="0"/>
                <w:sz w:val="22"/>
                <w:szCs w:val="22"/>
                <w:u w:val="none"/>
                <w:lang w:val="en-US" w:eastAsia="zh-CN" w:bidi="ar"/>
              </w:rPr>
              <w:t>1</w:t>
            </w:r>
          </w:p>
        </w:tc>
        <w:tc>
          <w:tcPr>
            <w:tcW w:w="4110" w:type="dxa"/>
            <w:vAlign w:val="center"/>
          </w:tcPr>
          <w:p>
            <w:pPr>
              <w:keepNext w:val="0"/>
              <w:keepLines w:val="0"/>
              <w:widowControl/>
              <w:suppressLineNumbers w:val="0"/>
              <w:jc w:val="left"/>
              <w:textAlignment w:val="center"/>
              <w:rPr>
                <w:rFonts w:hint="default"/>
                <w:color w:val="auto"/>
                <w:sz w:val="22"/>
                <w:szCs w:val="22"/>
                <w:vertAlign w:val="baseline"/>
                <w:lang w:val="en-US" w:eastAsia="zh-CN"/>
              </w:rPr>
            </w:pPr>
            <w:r>
              <w:rPr>
                <w:rFonts w:hint="eastAsia" w:ascii="宋体" w:hAnsi="宋体" w:eastAsia="宋体" w:cs="宋体"/>
                <w:i w:val="0"/>
                <w:iCs w:val="0"/>
                <w:color w:val="auto"/>
                <w:kern w:val="0"/>
                <w:sz w:val="22"/>
                <w:szCs w:val="22"/>
                <w:u w:val="none"/>
                <w:lang w:val="en-US" w:eastAsia="zh-CN" w:bidi="ar"/>
              </w:rPr>
              <w:t>深入宣传贯彻习近平总书记关于安全生产重要论述，组织村（居）民观看《安全生产 责任在肩》等警示教育片。</w:t>
            </w:r>
          </w:p>
        </w:tc>
        <w:tc>
          <w:tcPr>
            <w:tcW w:w="2250" w:type="dxa"/>
            <w:vAlign w:val="center"/>
          </w:tcPr>
          <w:p>
            <w:pPr>
              <w:keepNext w:val="0"/>
              <w:keepLines w:val="0"/>
              <w:widowControl/>
              <w:suppressLineNumbers w:val="0"/>
              <w:jc w:val="center"/>
              <w:textAlignment w:val="center"/>
              <w:rPr>
                <w:rFonts w:hint="default"/>
                <w:color w:val="auto"/>
                <w:sz w:val="22"/>
                <w:szCs w:val="22"/>
                <w:vertAlign w:val="baseline"/>
                <w:lang w:val="en-US" w:eastAsia="zh-CN"/>
              </w:rPr>
            </w:pPr>
            <w:r>
              <w:rPr>
                <w:rFonts w:hint="eastAsia" w:ascii="宋体" w:hAnsi="宋体" w:eastAsia="宋体" w:cs="宋体"/>
                <w:i w:val="0"/>
                <w:iCs w:val="0"/>
                <w:color w:val="auto"/>
                <w:kern w:val="0"/>
                <w:sz w:val="22"/>
                <w:szCs w:val="22"/>
                <w:u w:val="none"/>
                <w:lang w:val="en-US" w:eastAsia="zh-CN" w:bidi="ar"/>
              </w:rPr>
              <w:t>镇（街）、管委会（办）</w:t>
            </w:r>
          </w:p>
        </w:tc>
        <w:tc>
          <w:tcPr>
            <w:tcW w:w="1906" w:type="dxa"/>
            <w:vAlign w:val="center"/>
          </w:tcPr>
          <w:p>
            <w:pPr>
              <w:keepNext w:val="0"/>
              <w:keepLines w:val="0"/>
              <w:widowControl/>
              <w:suppressLineNumbers w:val="0"/>
              <w:jc w:val="center"/>
              <w:textAlignment w:val="center"/>
              <w:rPr>
                <w:rFonts w:hint="default"/>
                <w:color w:val="auto"/>
                <w:sz w:val="22"/>
                <w:szCs w:val="22"/>
                <w:vertAlign w:val="baseline"/>
                <w:lang w:val="en-US" w:eastAsia="zh-CN"/>
              </w:rPr>
            </w:pPr>
            <w:r>
              <w:rPr>
                <w:rFonts w:hint="eastAsia" w:ascii="宋体" w:hAnsi="宋体" w:eastAsia="宋体" w:cs="宋体"/>
                <w:i w:val="0"/>
                <w:iCs w:val="0"/>
                <w:color w:val="auto"/>
                <w:kern w:val="0"/>
                <w:sz w:val="22"/>
                <w:szCs w:val="22"/>
                <w:u w:val="none"/>
                <w:lang w:val="en-US" w:eastAsia="zh-CN" w:bidi="ar"/>
              </w:rPr>
              <w:t>6月20日前完成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022" w:type="dxa"/>
            <w:vAlign w:val="center"/>
          </w:tcPr>
          <w:p>
            <w:pPr>
              <w:keepNext w:val="0"/>
              <w:keepLines w:val="0"/>
              <w:widowControl/>
              <w:suppressLineNumbers w:val="0"/>
              <w:jc w:val="center"/>
              <w:textAlignment w:val="center"/>
              <w:rPr>
                <w:rFonts w:hint="eastAsia" w:ascii="Calibri" w:hAnsi="Calibri" w:eastAsia="宋体" w:cs="Times New Roman"/>
                <w:color w:val="auto"/>
                <w:kern w:val="2"/>
                <w:sz w:val="22"/>
                <w:szCs w:val="22"/>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4110" w:type="dxa"/>
            <w:vAlign w:val="center"/>
          </w:tcPr>
          <w:p>
            <w:pPr>
              <w:keepNext w:val="0"/>
              <w:keepLines w:val="0"/>
              <w:widowControl/>
              <w:suppressLineNumbers w:val="0"/>
              <w:jc w:val="left"/>
              <w:textAlignment w:val="center"/>
              <w:rPr>
                <w:rFonts w:hint="eastAsia" w:ascii="Calibri" w:hAnsi="Calibri" w:eastAsia="宋体" w:cs="Times New Roman"/>
                <w:color w:val="auto"/>
                <w:kern w:val="2"/>
                <w:sz w:val="22"/>
                <w:szCs w:val="22"/>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营造浓厚的社会面宣传氛围，负责落实本村（居）LED屏和宣传栏刊播。</w:t>
            </w:r>
          </w:p>
        </w:tc>
        <w:tc>
          <w:tcPr>
            <w:tcW w:w="2250" w:type="dxa"/>
            <w:vAlign w:val="center"/>
          </w:tcPr>
          <w:p>
            <w:pPr>
              <w:keepNext w:val="0"/>
              <w:keepLines w:val="0"/>
              <w:widowControl/>
              <w:suppressLineNumbers w:val="0"/>
              <w:jc w:val="center"/>
              <w:textAlignment w:val="center"/>
              <w:rPr>
                <w:rFonts w:hint="eastAsia" w:ascii="Calibri" w:hAnsi="Calibri" w:eastAsia="宋体" w:cs="Times New Roman"/>
                <w:color w:val="auto"/>
                <w:kern w:val="2"/>
                <w:sz w:val="22"/>
                <w:szCs w:val="22"/>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镇（街）、管委会（办）</w:t>
            </w:r>
          </w:p>
        </w:tc>
        <w:tc>
          <w:tcPr>
            <w:tcW w:w="1906" w:type="dxa"/>
            <w:vAlign w:val="center"/>
          </w:tcPr>
          <w:p>
            <w:pPr>
              <w:keepNext w:val="0"/>
              <w:keepLines w:val="0"/>
              <w:widowControl/>
              <w:suppressLineNumbers w:val="0"/>
              <w:jc w:val="center"/>
              <w:textAlignment w:val="center"/>
              <w:rPr>
                <w:rFonts w:hint="eastAsia" w:ascii="Calibri" w:hAnsi="Calibri" w:eastAsia="宋体" w:cs="Times New Roman"/>
                <w:color w:val="auto"/>
                <w:kern w:val="2"/>
                <w:sz w:val="22"/>
                <w:szCs w:val="22"/>
                <w:vertAlign w:val="baseline"/>
                <w:lang w:val="en-US" w:eastAsia="zh-CN" w:bidi="ar-SA"/>
              </w:rPr>
            </w:pPr>
            <w:r>
              <w:rPr>
                <w:rFonts w:hint="eastAsia" w:asciiTheme="minorEastAsia" w:hAnsiTheme="minorEastAsia" w:eastAsiaTheme="minorEastAsia" w:cstheme="minorEastAsia"/>
                <w:color w:val="auto"/>
                <w:sz w:val="22"/>
                <w:szCs w:val="22"/>
                <w:lang w:val="en-US" w:eastAsia="zh-CN"/>
              </w:rPr>
              <w:t>持续至6月30日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022" w:type="dxa"/>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w:t>
            </w:r>
          </w:p>
        </w:tc>
        <w:tc>
          <w:tcPr>
            <w:tcW w:w="411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农村围绕气象、地质、洪涝和森林火灾，社区（家庭）围绕燃气、电动车充电安全等风险点，开展1场逃生演练。</w:t>
            </w:r>
          </w:p>
        </w:tc>
        <w:tc>
          <w:tcPr>
            <w:tcW w:w="2250" w:type="dxa"/>
            <w:vAlign w:val="center"/>
          </w:tcPr>
          <w:p>
            <w:pPr>
              <w:keepNext w:val="0"/>
              <w:keepLines w:val="0"/>
              <w:widowControl/>
              <w:suppressLineNumbers w:val="0"/>
              <w:jc w:val="center"/>
              <w:textAlignment w:val="center"/>
              <w:rPr>
                <w:rFonts w:hint="eastAsia" w:ascii="Calibri" w:hAnsi="Calibri" w:eastAsia="宋体" w:cs="Times New Roman"/>
                <w:color w:val="auto"/>
                <w:kern w:val="2"/>
                <w:sz w:val="22"/>
                <w:szCs w:val="22"/>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镇（街）、管委会（办）</w:t>
            </w:r>
          </w:p>
        </w:tc>
        <w:tc>
          <w:tcPr>
            <w:tcW w:w="1906" w:type="dxa"/>
            <w:vAlign w:val="center"/>
          </w:tcPr>
          <w:p>
            <w:pPr>
              <w:keepNext w:val="0"/>
              <w:keepLines w:val="0"/>
              <w:widowControl/>
              <w:suppressLineNumbers w:val="0"/>
              <w:jc w:val="center"/>
              <w:textAlignment w:val="center"/>
              <w:rPr>
                <w:rFonts w:hint="eastAsia" w:ascii="Calibri" w:hAnsi="Calibri" w:eastAsia="宋体" w:cs="Times New Roman"/>
                <w:color w:val="auto"/>
                <w:kern w:val="2"/>
                <w:sz w:val="22"/>
                <w:szCs w:val="22"/>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6月</w:t>
            </w:r>
            <w:r>
              <w:rPr>
                <w:rFonts w:hint="eastAsia" w:ascii="宋体" w:hAnsi="宋体" w:cs="宋体"/>
                <w:i w:val="0"/>
                <w:iCs w:val="0"/>
                <w:color w:val="auto"/>
                <w:kern w:val="0"/>
                <w:sz w:val="22"/>
                <w:szCs w:val="22"/>
                <w:u w:val="none"/>
                <w:lang w:val="en-US" w:eastAsia="zh-CN" w:bidi="ar"/>
              </w:rPr>
              <w:t>22</w:t>
            </w:r>
            <w:r>
              <w:rPr>
                <w:rFonts w:hint="eastAsia" w:ascii="宋体" w:hAnsi="宋体" w:eastAsia="宋体" w:cs="宋体"/>
                <w:i w:val="0"/>
                <w:iCs w:val="0"/>
                <w:color w:val="auto"/>
                <w:kern w:val="0"/>
                <w:sz w:val="22"/>
                <w:szCs w:val="22"/>
                <w:u w:val="none"/>
                <w:lang w:val="en-US" w:eastAsia="zh-CN" w:bidi="ar"/>
              </w:rPr>
              <w:t>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022" w:type="dxa"/>
            <w:vAlign w:val="center"/>
          </w:tcPr>
          <w:p>
            <w:pPr>
              <w:keepNext w:val="0"/>
              <w:keepLines w:val="0"/>
              <w:widowControl/>
              <w:suppressLineNumbers w:val="0"/>
              <w:jc w:val="center"/>
              <w:textAlignment w:val="center"/>
              <w:rPr>
                <w:rFonts w:hint="default"/>
                <w:color w:val="auto"/>
                <w:sz w:val="22"/>
                <w:szCs w:val="22"/>
                <w:vertAlign w:val="baseline"/>
                <w:lang w:val="en-US" w:eastAsia="zh-CN"/>
              </w:rPr>
            </w:pPr>
            <w:r>
              <w:rPr>
                <w:rFonts w:hint="eastAsia" w:ascii="宋体" w:hAnsi="宋体" w:cs="宋体"/>
                <w:i w:val="0"/>
                <w:iCs w:val="0"/>
                <w:color w:val="auto"/>
                <w:kern w:val="0"/>
                <w:sz w:val="22"/>
                <w:szCs w:val="22"/>
                <w:u w:val="none"/>
                <w:lang w:val="en-US" w:eastAsia="zh-CN" w:bidi="ar"/>
              </w:rPr>
              <w:t>5</w:t>
            </w:r>
          </w:p>
        </w:tc>
        <w:tc>
          <w:tcPr>
            <w:tcW w:w="4110" w:type="dxa"/>
            <w:vAlign w:val="center"/>
          </w:tcPr>
          <w:p>
            <w:pPr>
              <w:keepNext w:val="0"/>
              <w:keepLines w:val="0"/>
              <w:widowControl/>
              <w:suppressLineNumbers w:val="0"/>
              <w:jc w:val="left"/>
              <w:textAlignment w:val="center"/>
              <w:rPr>
                <w:rFonts w:hint="default"/>
                <w:color w:val="auto"/>
                <w:sz w:val="22"/>
                <w:szCs w:val="22"/>
                <w:vertAlign w:val="baseline"/>
                <w:lang w:val="en-US" w:eastAsia="zh-CN"/>
              </w:rPr>
            </w:pPr>
            <w:r>
              <w:rPr>
                <w:rFonts w:hint="eastAsia" w:ascii="宋体" w:hAnsi="宋体" w:eastAsia="宋体" w:cs="宋体"/>
                <w:i w:val="0"/>
                <w:iCs w:val="0"/>
                <w:color w:val="auto"/>
                <w:kern w:val="0"/>
                <w:sz w:val="22"/>
                <w:szCs w:val="22"/>
                <w:u w:val="none"/>
                <w:lang w:val="en-US" w:eastAsia="zh-CN" w:bidi="ar"/>
              </w:rPr>
              <w:t>开展1次“进门入户送安全”宣传活动，入户宣传电动自行车充电安全、储能设备安全、燃气安全和用电安全等知识。</w:t>
            </w:r>
          </w:p>
        </w:tc>
        <w:tc>
          <w:tcPr>
            <w:tcW w:w="2250" w:type="dxa"/>
            <w:vAlign w:val="center"/>
          </w:tcPr>
          <w:p>
            <w:pPr>
              <w:rPr>
                <w:rFonts w:hint="default"/>
                <w:color w:val="auto"/>
                <w:sz w:val="22"/>
                <w:szCs w:val="22"/>
                <w:vertAlign w:val="baseline"/>
                <w:lang w:val="en-US" w:eastAsia="zh-CN"/>
              </w:rPr>
            </w:pPr>
            <w:r>
              <w:rPr>
                <w:rFonts w:hint="eastAsia" w:ascii="宋体" w:hAnsi="宋体" w:eastAsia="宋体" w:cs="宋体"/>
                <w:i w:val="0"/>
                <w:iCs w:val="0"/>
                <w:color w:val="auto"/>
                <w:kern w:val="0"/>
                <w:sz w:val="22"/>
                <w:szCs w:val="22"/>
                <w:u w:val="none"/>
                <w:lang w:val="en-US" w:eastAsia="zh-CN" w:bidi="ar"/>
              </w:rPr>
              <w:t>镇（街）、管委会（办）</w:t>
            </w:r>
          </w:p>
        </w:tc>
        <w:tc>
          <w:tcPr>
            <w:tcW w:w="1906" w:type="dxa"/>
            <w:vAlign w:val="center"/>
          </w:tcPr>
          <w:p>
            <w:pPr>
              <w:jc w:val="center"/>
              <w:rPr>
                <w:rFonts w:hint="default"/>
                <w:color w:val="auto"/>
                <w:sz w:val="22"/>
                <w:szCs w:val="22"/>
                <w:vertAlign w:val="baseline"/>
                <w:lang w:val="en-US" w:eastAsia="zh-CN"/>
              </w:rPr>
            </w:pPr>
            <w:r>
              <w:rPr>
                <w:rFonts w:hint="eastAsia" w:ascii="宋体" w:hAnsi="宋体" w:eastAsia="宋体" w:cs="宋体"/>
                <w:i w:val="0"/>
                <w:iCs w:val="0"/>
                <w:color w:val="auto"/>
                <w:kern w:val="0"/>
                <w:sz w:val="22"/>
                <w:szCs w:val="22"/>
                <w:u w:val="none"/>
                <w:lang w:val="en-US" w:eastAsia="zh-CN" w:bidi="ar"/>
              </w:rPr>
              <w:t>6月30日前完成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22" w:type="dxa"/>
            <w:vAlign w:val="center"/>
          </w:tcPr>
          <w:p>
            <w:pPr>
              <w:keepNext w:val="0"/>
              <w:keepLines w:val="0"/>
              <w:widowControl/>
              <w:suppressLineNumbers w:val="0"/>
              <w:jc w:val="center"/>
              <w:textAlignment w:val="center"/>
              <w:rPr>
                <w:rFonts w:hint="default"/>
                <w:color w:val="auto"/>
                <w:sz w:val="22"/>
                <w:szCs w:val="22"/>
                <w:vertAlign w:val="baseline"/>
                <w:lang w:val="en-US" w:eastAsia="zh-CN"/>
              </w:rPr>
            </w:pPr>
            <w:r>
              <w:rPr>
                <w:rFonts w:hint="eastAsia" w:ascii="宋体" w:hAnsi="宋体" w:cs="宋体"/>
                <w:i w:val="0"/>
                <w:iCs w:val="0"/>
                <w:color w:val="auto"/>
                <w:kern w:val="0"/>
                <w:sz w:val="22"/>
                <w:szCs w:val="22"/>
                <w:u w:val="none"/>
                <w:lang w:val="en-US" w:eastAsia="zh-CN" w:bidi="ar"/>
              </w:rPr>
              <w:t>6</w:t>
            </w:r>
          </w:p>
        </w:tc>
        <w:tc>
          <w:tcPr>
            <w:tcW w:w="4110" w:type="dxa"/>
            <w:vAlign w:val="center"/>
          </w:tcPr>
          <w:p>
            <w:pPr>
              <w:keepNext w:val="0"/>
              <w:keepLines w:val="0"/>
              <w:widowControl/>
              <w:suppressLineNumbers w:val="0"/>
              <w:jc w:val="left"/>
              <w:textAlignment w:val="center"/>
              <w:rPr>
                <w:rFonts w:hint="default"/>
                <w:color w:val="auto"/>
                <w:sz w:val="22"/>
                <w:szCs w:val="22"/>
                <w:vertAlign w:val="baseline"/>
                <w:lang w:val="en-US" w:eastAsia="zh-CN"/>
              </w:rPr>
            </w:pPr>
            <w:r>
              <w:rPr>
                <w:rFonts w:hint="eastAsia" w:ascii="宋体" w:hAnsi="宋体" w:eastAsia="宋体" w:cs="宋体"/>
                <w:i w:val="0"/>
                <w:iCs w:val="0"/>
                <w:color w:val="auto"/>
                <w:kern w:val="0"/>
                <w:sz w:val="22"/>
                <w:szCs w:val="22"/>
                <w:u w:val="none"/>
                <w:lang w:val="en-US" w:eastAsia="zh-CN" w:bidi="ar"/>
              </w:rPr>
              <w:t>对本辖区住户开展1次家庭安全隐患排查</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1次电动车充电安全</w:t>
            </w:r>
            <w:r>
              <w:rPr>
                <w:rFonts w:hint="eastAsia" w:ascii="宋体" w:hAnsi="宋体" w:cs="宋体"/>
                <w:i w:val="0"/>
                <w:iCs w:val="0"/>
                <w:color w:val="auto"/>
                <w:kern w:val="0"/>
                <w:sz w:val="22"/>
                <w:szCs w:val="22"/>
                <w:u w:val="none"/>
                <w:lang w:val="en-US" w:eastAsia="zh-CN" w:bidi="ar"/>
              </w:rPr>
              <w:t>排查。</w:t>
            </w:r>
          </w:p>
        </w:tc>
        <w:tc>
          <w:tcPr>
            <w:tcW w:w="2250" w:type="dxa"/>
            <w:vAlign w:val="center"/>
          </w:tcPr>
          <w:p>
            <w:pPr>
              <w:rPr>
                <w:rFonts w:hint="default"/>
                <w:color w:val="auto"/>
                <w:sz w:val="22"/>
                <w:szCs w:val="22"/>
                <w:vertAlign w:val="baseline"/>
                <w:lang w:val="en-US" w:eastAsia="zh-CN"/>
              </w:rPr>
            </w:pPr>
            <w:r>
              <w:rPr>
                <w:rFonts w:hint="eastAsia" w:ascii="宋体" w:hAnsi="宋体" w:eastAsia="宋体" w:cs="宋体"/>
                <w:i w:val="0"/>
                <w:iCs w:val="0"/>
                <w:color w:val="auto"/>
                <w:kern w:val="0"/>
                <w:sz w:val="22"/>
                <w:szCs w:val="22"/>
                <w:u w:val="none"/>
                <w:lang w:val="en-US" w:eastAsia="zh-CN" w:bidi="ar"/>
              </w:rPr>
              <w:t>镇（街）、管委会（办）</w:t>
            </w:r>
          </w:p>
        </w:tc>
        <w:tc>
          <w:tcPr>
            <w:tcW w:w="1906" w:type="dxa"/>
            <w:vAlign w:val="center"/>
          </w:tcPr>
          <w:p>
            <w:pPr>
              <w:keepNext w:val="0"/>
              <w:keepLines w:val="0"/>
              <w:widowControl/>
              <w:suppressLineNumbers w:val="0"/>
              <w:jc w:val="center"/>
              <w:textAlignment w:val="center"/>
              <w:rPr>
                <w:rFonts w:hint="default"/>
                <w:color w:val="auto"/>
                <w:sz w:val="22"/>
                <w:szCs w:val="22"/>
                <w:vertAlign w:val="baseline"/>
                <w:lang w:val="en-US" w:eastAsia="zh-CN"/>
              </w:rPr>
            </w:pPr>
            <w:r>
              <w:rPr>
                <w:rFonts w:hint="eastAsia" w:ascii="宋体" w:hAnsi="宋体" w:eastAsia="宋体" w:cs="宋体"/>
                <w:i w:val="0"/>
                <w:iCs w:val="0"/>
                <w:color w:val="auto"/>
                <w:kern w:val="0"/>
                <w:sz w:val="22"/>
                <w:szCs w:val="22"/>
                <w:u w:val="none"/>
                <w:lang w:val="en-US" w:eastAsia="zh-CN" w:bidi="ar"/>
              </w:rPr>
              <w:t>6月30日前完成</w:t>
            </w:r>
          </w:p>
        </w:tc>
      </w:tr>
    </w:tbl>
    <w:p>
      <w:pPr>
        <w:pStyle w:val="2"/>
        <w:rPr>
          <w:rFonts w:hint="default"/>
          <w:color w:val="auto"/>
          <w:lang w:val="en-US" w:eastAsia="zh-CN"/>
        </w:rPr>
        <w:sectPr>
          <w:pgSz w:w="11906" w:h="16838"/>
          <w:pgMar w:top="1417" w:right="1417" w:bottom="1134" w:left="1417" w:header="851" w:footer="992" w:gutter="0"/>
          <w:pgNumType w:fmt="decimal"/>
          <w:cols w:space="0" w:num="1"/>
          <w:rtlGutter w:val="0"/>
          <w:docGrid w:type="lines" w:linePitch="312" w:charSpace="0"/>
        </w:sectPr>
      </w:pPr>
    </w:p>
    <w:p>
      <w:pPr>
        <w:pStyle w:val="2"/>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textAlignment w:val="auto"/>
        <w:rPr>
          <w:rFonts w:hint="default"/>
          <w:color w:val="auto"/>
          <w:lang w:val="en-US" w:eastAsia="zh-CN"/>
        </w:rPr>
      </w:pPr>
      <w:r>
        <w:rPr>
          <w:rFonts w:hint="eastAsia" w:ascii="黑体" w:hAnsi="黑体" w:eastAsia="黑体" w:cs="黑体"/>
          <w:color w:val="auto"/>
          <w:sz w:val="32"/>
          <w:szCs w:val="32"/>
          <w:lang w:val="en-US" w:eastAsia="zh-CN"/>
        </w:rPr>
        <w:t>六、学校活动责任项目清单</w:t>
      </w:r>
      <w:r>
        <w:rPr>
          <w:rFonts w:hint="eastAsia" w:ascii="仿宋_GB2312" w:hAnsi="仿宋_GB2312" w:eastAsia="仿宋_GB2312" w:cs="仿宋_GB2312"/>
          <w:color w:val="auto"/>
          <w:sz w:val="32"/>
          <w:szCs w:val="32"/>
          <w:lang w:val="en-US" w:eastAsia="zh-CN"/>
        </w:rPr>
        <w:t>（包含但不仅限于以下项目，可结合实际丰富活动内容</w:t>
      </w:r>
      <w:r>
        <w:rPr>
          <w:rFonts w:hint="eastAsia" w:cs="仿宋_GB2312"/>
          <w:color w:val="auto"/>
          <w:sz w:val="32"/>
          <w:szCs w:val="32"/>
          <w:lang w:val="en-US" w:eastAsia="zh-CN"/>
        </w:rPr>
        <w:t>和形式</w:t>
      </w:r>
      <w:r>
        <w:rPr>
          <w:rFonts w:hint="eastAsia" w:ascii="仿宋_GB2312" w:hAnsi="仿宋_GB2312" w:eastAsia="仿宋_GB2312" w:cs="仿宋_GB2312"/>
          <w:color w:val="auto"/>
          <w:sz w:val="32"/>
          <w:szCs w:val="32"/>
          <w:lang w:val="en-US" w:eastAsia="zh-CN"/>
        </w:rPr>
        <w:t>）</w:t>
      </w:r>
    </w:p>
    <w:tbl>
      <w:tblPr>
        <w:tblStyle w:val="10"/>
        <w:tblW w:w="50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3863"/>
        <w:gridCol w:w="224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21" w:type="pct"/>
            <w:vAlign w:val="center"/>
          </w:tcPr>
          <w:p>
            <w:pPr>
              <w:keepNext w:val="0"/>
              <w:keepLines w:val="0"/>
              <w:widowControl/>
              <w:suppressLineNumbers w:val="0"/>
              <w:jc w:val="center"/>
              <w:textAlignment w:val="center"/>
              <w:rPr>
                <w:rFonts w:hint="eastAsia" w:ascii="黑体" w:hAnsi="黑体" w:eastAsia="黑体" w:cs="黑体"/>
                <w:color w:val="auto"/>
                <w:sz w:val="28"/>
                <w:szCs w:val="28"/>
                <w:vertAlign w:val="baseline"/>
                <w:lang w:val="en-US" w:eastAsia="zh-CN"/>
              </w:rPr>
            </w:pPr>
            <w:r>
              <w:rPr>
                <w:rFonts w:hint="eastAsia" w:ascii="黑体" w:hAnsi="黑体" w:eastAsia="黑体" w:cs="黑体"/>
                <w:i w:val="0"/>
                <w:iCs w:val="0"/>
                <w:color w:val="auto"/>
                <w:kern w:val="0"/>
                <w:sz w:val="28"/>
                <w:szCs w:val="28"/>
                <w:u w:val="none"/>
                <w:lang w:val="en-US" w:eastAsia="zh-CN" w:bidi="ar"/>
              </w:rPr>
              <w:t>序号</w:t>
            </w:r>
          </w:p>
        </w:tc>
        <w:tc>
          <w:tcPr>
            <w:tcW w:w="2066" w:type="pct"/>
            <w:vAlign w:val="center"/>
          </w:tcPr>
          <w:p>
            <w:pPr>
              <w:keepNext w:val="0"/>
              <w:keepLines w:val="0"/>
              <w:widowControl/>
              <w:suppressLineNumbers w:val="0"/>
              <w:jc w:val="center"/>
              <w:textAlignment w:val="center"/>
              <w:rPr>
                <w:rFonts w:hint="eastAsia" w:ascii="黑体" w:hAnsi="黑体" w:eastAsia="黑体" w:cs="黑体"/>
                <w:color w:val="auto"/>
                <w:sz w:val="28"/>
                <w:szCs w:val="28"/>
                <w:vertAlign w:val="baseline"/>
                <w:lang w:val="en-US" w:eastAsia="zh-CN"/>
              </w:rPr>
            </w:pPr>
            <w:r>
              <w:rPr>
                <w:rFonts w:hint="eastAsia" w:ascii="黑体" w:hAnsi="黑体" w:eastAsia="黑体" w:cs="黑体"/>
                <w:i w:val="0"/>
                <w:iCs w:val="0"/>
                <w:color w:val="auto"/>
                <w:kern w:val="0"/>
                <w:sz w:val="28"/>
                <w:szCs w:val="28"/>
                <w:u w:val="none"/>
                <w:lang w:val="en-US" w:eastAsia="zh-CN" w:bidi="ar"/>
              </w:rPr>
              <w:t>活动项目</w:t>
            </w:r>
          </w:p>
        </w:tc>
        <w:tc>
          <w:tcPr>
            <w:tcW w:w="1198" w:type="pct"/>
            <w:vAlign w:val="center"/>
          </w:tcPr>
          <w:p>
            <w:pPr>
              <w:keepNext w:val="0"/>
              <w:keepLines w:val="0"/>
              <w:widowControl/>
              <w:suppressLineNumbers w:val="0"/>
              <w:jc w:val="center"/>
              <w:textAlignment w:val="center"/>
              <w:rPr>
                <w:rFonts w:hint="eastAsia" w:ascii="黑体" w:hAnsi="黑体" w:eastAsia="黑体" w:cs="黑体"/>
                <w:color w:val="auto"/>
                <w:sz w:val="28"/>
                <w:szCs w:val="28"/>
                <w:vertAlign w:val="baseline"/>
                <w:lang w:val="en-US" w:eastAsia="zh-CN"/>
              </w:rPr>
            </w:pPr>
            <w:r>
              <w:rPr>
                <w:rFonts w:hint="eastAsia" w:ascii="黑体" w:hAnsi="黑体" w:eastAsia="黑体" w:cs="黑体"/>
                <w:i w:val="0"/>
                <w:iCs w:val="0"/>
                <w:color w:val="auto"/>
                <w:kern w:val="0"/>
                <w:sz w:val="28"/>
                <w:szCs w:val="28"/>
                <w:u w:val="none"/>
                <w:lang w:val="en-US" w:eastAsia="zh-CN" w:bidi="ar"/>
              </w:rPr>
              <w:t>监督指导单位</w:t>
            </w:r>
          </w:p>
        </w:tc>
        <w:tc>
          <w:tcPr>
            <w:tcW w:w="1113" w:type="pct"/>
            <w:vAlign w:val="center"/>
          </w:tcPr>
          <w:p>
            <w:pPr>
              <w:keepNext w:val="0"/>
              <w:keepLines w:val="0"/>
              <w:widowControl/>
              <w:suppressLineNumbers w:val="0"/>
              <w:jc w:val="center"/>
              <w:textAlignment w:val="center"/>
              <w:rPr>
                <w:rFonts w:hint="eastAsia" w:ascii="黑体" w:hAnsi="黑体" w:eastAsia="黑体" w:cs="黑体"/>
                <w:color w:val="auto"/>
                <w:sz w:val="28"/>
                <w:szCs w:val="28"/>
                <w:vertAlign w:val="baseline"/>
                <w:lang w:val="en-US" w:eastAsia="zh-CN"/>
              </w:rPr>
            </w:pPr>
            <w:r>
              <w:rPr>
                <w:rFonts w:hint="eastAsia" w:ascii="黑体" w:hAnsi="黑体" w:eastAsia="黑体" w:cs="黑体"/>
                <w:i w:val="0"/>
                <w:iCs w:val="0"/>
                <w:color w:val="auto"/>
                <w:kern w:val="0"/>
                <w:sz w:val="28"/>
                <w:szCs w:val="28"/>
                <w:u w:val="none"/>
                <w:lang w:val="en-US" w:eastAsia="zh-CN" w:bidi="ar"/>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621"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2066"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全区幼儿园、中小学、成人教育培训中心、区职业技术学校和区理工职业技术学校针对交通安全、消防安全、地震逃生、防溺水和防踩踏事故开展1场应急演练活动。</w:t>
            </w:r>
          </w:p>
        </w:tc>
        <w:tc>
          <w:tcPr>
            <w:tcW w:w="1198"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区教育局</w:t>
            </w:r>
          </w:p>
        </w:tc>
        <w:tc>
          <w:tcPr>
            <w:tcW w:w="1113"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6月22日前完成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621"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2066"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营造浓厚的社会面宣传氛围，全区幼儿园、中小学、成人教育培训中心、区职业技术学校和区理工职业技术学校负责落实本校LED屏和宣传栏刊播。</w:t>
            </w:r>
          </w:p>
        </w:tc>
        <w:tc>
          <w:tcPr>
            <w:tcW w:w="1198"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区教育局</w:t>
            </w:r>
          </w:p>
        </w:tc>
        <w:tc>
          <w:tcPr>
            <w:tcW w:w="1113"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持续至6月30日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621" w:type="pct"/>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3</w:t>
            </w:r>
          </w:p>
        </w:tc>
        <w:tc>
          <w:tcPr>
            <w:tcW w:w="2066" w:type="pct"/>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全区幼儿园、中小学、成人教育培训中心、区职业技术学校和区理工职业技术学校开展1次安全教育主题班会、安全大讲堂。</w:t>
            </w:r>
          </w:p>
        </w:tc>
        <w:tc>
          <w:tcPr>
            <w:tcW w:w="1198"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区教育局</w:t>
            </w:r>
          </w:p>
        </w:tc>
        <w:tc>
          <w:tcPr>
            <w:tcW w:w="1113" w:type="pct"/>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6月22日前完成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21"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2066"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全区幼儿园、中小学、成人教育培训中心、区职业技术学校和区理工职业技术学校发动教职员工开展1次“我是安全吹哨人”“查找身边的隐患”等安全隐患自查自纠活动。</w:t>
            </w:r>
          </w:p>
        </w:tc>
        <w:tc>
          <w:tcPr>
            <w:tcW w:w="1198"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区教育局</w:t>
            </w:r>
          </w:p>
        </w:tc>
        <w:tc>
          <w:tcPr>
            <w:tcW w:w="1113"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持续至12月30日</w:t>
            </w:r>
          </w:p>
        </w:tc>
      </w:tr>
    </w:tbl>
    <w:p>
      <w:pPr>
        <w:keepNext w:val="0"/>
        <w:keepLines w:val="0"/>
        <w:widowControl/>
        <w:suppressLineNumbers w:val="0"/>
        <w:jc w:val="left"/>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sectPr>
          <w:pgSz w:w="11906" w:h="16838"/>
          <w:pgMar w:top="1417" w:right="1417" w:bottom="1134" w:left="1417" w:header="851" w:footer="992" w:gutter="0"/>
          <w:pgNumType w:fmt="decimal"/>
          <w:cols w:space="0" w:num="1"/>
          <w:rtlGutter w:val="0"/>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lang w:val="en-US" w:eastAsia="zh-CN" w:bidi="ar-SA"/>
        </w:rPr>
      </w:pPr>
    </w:p>
    <w:p>
      <w:pPr>
        <w:pStyle w:val="14"/>
        <w:keepNext w:val="0"/>
        <w:keepLines w:val="0"/>
        <w:pageBreakBefore w:val="0"/>
        <w:widowControl w:val="0"/>
        <w:wordWrap/>
        <w:topLinePunct w:val="0"/>
        <w:bidi w:val="0"/>
        <w:adjustRightInd/>
        <w:spacing w:line="560" w:lineRule="exact"/>
        <w:ind w:left="0" w:leftChars="0" w:right="0"/>
        <w:textAlignment w:val="auto"/>
        <w:rPr>
          <w:rFonts w:hint="eastAsia" w:ascii="仿宋_GB2312" w:hAnsi="仿宋_GB2312" w:eastAsia="仿宋_GB2312" w:cs="仿宋_GB2312"/>
          <w:b/>
          <w:bCs/>
          <w:sz w:val="32"/>
          <w:szCs w:val="32"/>
          <w:lang w:eastAsia="zh-CN"/>
        </w:rPr>
      </w:pPr>
    </w:p>
    <w:p>
      <w:pPr>
        <w:pStyle w:val="14"/>
        <w:keepNext w:val="0"/>
        <w:keepLines w:val="0"/>
        <w:pageBreakBefore w:val="0"/>
        <w:widowControl w:val="0"/>
        <w:wordWrap/>
        <w:topLinePunct w:val="0"/>
        <w:bidi w:val="0"/>
        <w:adjustRightInd/>
        <w:spacing w:line="560" w:lineRule="exact"/>
        <w:ind w:left="0" w:leftChars="0" w:right="0" w:firstLine="0" w:firstLineChars="0"/>
        <w:textAlignment w:val="auto"/>
        <w:rPr>
          <w:rFonts w:hint="eastAsia" w:ascii="仿宋_GB2312" w:eastAsia="仿宋_GB2312"/>
          <w:b/>
          <w:bCs/>
          <w:sz w:val="32"/>
          <w:szCs w:val="32"/>
          <w:lang w:eastAsia="zh-CN"/>
        </w:rPr>
      </w:pPr>
    </w:p>
    <w:p>
      <w:pPr>
        <w:pStyle w:val="14"/>
        <w:keepNext w:val="0"/>
        <w:keepLines w:val="0"/>
        <w:pageBreakBefore w:val="0"/>
        <w:widowControl w:val="0"/>
        <w:wordWrap/>
        <w:topLinePunct w:val="0"/>
        <w:bidi w:val="0"/>
        <w:adjustRightInd/>
        <w:spacing w:line="560" w:lineRule="exact"/>
        <w:ind w:left="0" w:leftChars="0" w:right="0" w:firstLine="0" w:firstLineChars="0"/>
        <w:textAlignment w:val="auto"/>
        <w:rPr>
          <w:rFonts w:hint="eastAsia" w:ascii="仿宋_GB2312" w:eastAsia="仿宋_GB2312"/>
          <w:b/>
          <w:bCs/>
          <w:sz w:val="32"/>
          <w:szCs w:val="32"/>
          <w:lang w:eastAsia="zh-CN"/>
        </w:rPr>
      </w:pPr>
    </w:p>
    <w:p>
      <w:pPr>
        <w:pStyle w:val="14"/>
        <w:keepNext w:val="0"/>
        <w:keepLines w:val="0"/>
        <w:pageBreakBefore w:val="0"/>
        <w:widowControl w:val="0"/>
        <w:wordWrap/>
        <w:topLinePunct w:val="0"/>
        <w:bidi w:val="0"/>
        <w:adjustRightInd/>
        <w:spacing w:line="560" w:lineRule="exact"/>
        <w:ind w:left="0" w:leftChars="0" w:right="0" w:firstLine="0" w:firstLineChars="0"/>
        <w:textAlignment w:val="auto"/>
        <w:rPr>
          <w:rFonts w:hint="eastAsia" w:ascii="仿宋_GB2312" w:eastAsia="仿宋_GB2312"/>
          <w:b/>
          <w:bCs/>
          <w:sz w:val="32"/>
          <w:szCs w:val="32"/>
          <w:lang w:eastAsia="zh-CN"/>
        </w:rPr>
      </w:pPr>
    </w:p>
    <w:p>
      <w:pPr>
        <w:pStyle w:val="14"/>
        <w:keepNext w:val="0"/>
        <w:keepLines w:val="0"/>
        <w:pageBreakBefore w:val="0"/>
        <w:widowControl w:val="0"/>
        <w:wordWrap/>
        <w:topLinePunct w:val="0"/>
        <w:bidi w:val="0"/>
        <w:adjustRightInd/>
        <w:spacing w:line="560" w:lineRule="exact"/>
        <w:ind w:left="0" w:leftChars="0" w:right="0" w:firstLine="0" w:firstLineChars="0"/>
        <w:textAlignment w:val="auto"/>
        <w:rPr>
          <w:rFonts w:hint="eastAsia" w:ascii="仿宋_GB2312" w:eastAsia="仿宋_GB2312"/>
          <w:b/>
          <w:bCs/>
          <w:sz w:val="32"/>
          <w:szCs w:val="32"/>
          <w:lang w:eastAsia="zh-CN"/>
        </w:rPr>
      </w:pPr>
    </w:p>
    <w:p>
      <w:pPr>
        <w:pStyle w:val="14"/>
        <w:keepNext w:val="0"/>
        <w:keepLines w:val="0"/>
        <w:pageBreakBefore w:val="0"/>
        <w:widowControl w:val="0"/>
        <w:wordWrap/>
        <w:topLinePunct w:val="0"/>
        <w:bidi w:val="0"/>
        <w:adjustRightInd/>
        <w:spacing w:line="560" w:lineRule="exact"/>
        <w:ind w:left="0" w:leftChars="0" w:right="0" w:firstLine="0" w:firstLineChars="0"/>
        <w:textAlignment w:val="auto"/>
        <w:rPr>
          <w:rFonts w:hint="eastAsia" w:ascii="仿宋_GB2312" w:eastAsia="仿宋_GB2312"/>
          <w:b/>
          <w:bCs/>
          <w:sz w:val="32"/>
          <w:szCs w:val="32"/>
          <w:lang w:eastAsia="zh-CN"/>
        </w:rPr>
      </w:pPr>
    </w:p>
    <w:p>
      <w:pPr>
        <w:pStyle w:val="14"/>
        <w:keepNext w:val="0"/>
        <w:keepLines w:val="0"/>
        <w:pageBreakBefore w:val="0"/>
        <w:widowControl w:val="0"/>
        <w:wordWrap/>
        <w:topLinePunct w:val="0"/>
        <w:bidi w:val="0"/>
        <w:adjustRightInd/>
        <w:spacing w:line="560" w:lineRule="exact"/>
        <w:ind w:left="0" w:leftChars="0" w:right="0" w:firstLine="0" w:firstLineChars="0"/>
        <w:textAlignment w:val="auto"/>
        <w:rPr>
          <w:rFonts w:hint="eastAsia" w:ascii="仿宋_GB2312" w:eastAsia="仿宋_GB2312"/>
          <w:b/>
          <w:bCs/>
          <w:sz w:val="32"/>
          <w:szCs w:val="32"/>
          <w:lang w:eastAsia="zh-CN"/>
        </w:rPr>
      </w:pPr>
    </w:p>
    <w:p>
      <w:pPr>
        <w:pStyle w:val="14"/>
        <w:keepNext w:val="0"/>
        <w:keepLines w:val="0"/>
        <w:pageBreakBefore w:val="0"/>
        <w:widowControl w:val="0"/>
        <w:wordWrap/>
        <w:topLinePunct w:val="0"/>
        <w:bidi w:val="0"/>
        <w:adjustRightInd/>
        <w:spacing w:line="560" w:lineRule="exact"/>
        <w:ind w:left="0" w:leftChars="0" w:right="0" w:firstLine="0" w:firstLineChars="0"/>
        <w:textAlignment w:val="auto"/>
        <w:rPr>
          <w:rFonts w:hint="eastAsia" w:ascii="仿宋_GB2312" w:eastAsia="仿宋_GB2312"/>
          <w:b/>
          <w:bCs/>
          <w:sz w:val="32"/>
          <w:szCs w:val="32"/>
          <w:lang w:eastAsia="zh-CN"/>
        </w:rPr>
      </w:pPr>
    </w:p>
    <w:p>
      <w:pPr>
        <w:pStyle w:val="14"/>
        <w:keepNext w:val="0"/>
        <w:keepLines w:val="0"/>
        <w:pageBreakBefore w:val="0"/>
        <w:widowControl w:val="0"/>
        <w:wordWrap/>
        <w:topLinePunct w:val="0"/>
        <w:bidi w:val="0"/>
        <w:adjustRightInd/>
        <w:spacing w:line="560" w:lineRule="exact"/>
        <w:ind w:left="0" w:leftChars="0" w:right="0" w:firstLine="0" w:firstLineChars="0"/>
        <w:textAlignment w:val="auto"/>
        <w:rPr>
          <w:rFonts w:hint="eastAsia" w:ascii="仿宋_GB2312" w:eastAsia="仿宋_GB2312"/>
          <w:b/>
          <w:bCs/>
          <w:sz w:val="32"/>
          <w:szCs w:val="32"/>
          <w:lang w:eastAsia="zh-CN"/>
        </w:rPr>
      </w:pPr>
    </w:p>
    <w:p>
      <w:pPr>
        <w:pStyle w:val="14"/>
        <w:keepNext w:val="0"/>
        <w:keepLines w:val="0"/>
        <w:pageBreakBefore w:val="0"/>
        <w:widowControl w:val="0"/>
        <w:wordWrap/>
        <w:topLinePunct w:val="0"/>
        <w:bidi w:val="0"/>
        <w:adjustRightInd/>
        <w:spacing w:line="560" w:lineRule="exact"/>
        <w:ind w:left="0" w:leftChars="0" w:right="0" w:firstLine="0" w:firstLineChars="0"/>
        <w:textAlignment w:val="auto"/>
        <w:rPr>
          <w:rFonts w:hint="eastAsia" w:ascii="仿宋_GB2312" w:eastAsia="仿宋_GB2312"/>
          <w:b/>
          <w:bCs/>
          <w:sz w:val="32"/>
          <w:szCs w:val="32"/>
          <w:lang w:eastAsia="zh-CN"/>
        </w:rPr>
      </w:pPr>
    </w:p>
    <w:p>
      <w:pPr>
        <w:pStyle w:val="14"/>
        <w:keepNext w:val="0"/>
        <w:keepLines w:val="0"/>
        <w:pageBreakBefore w:val="0"/>
        <w:widowControl w:val="0"/>
        <w:wordWrap/>
        <w:topLinePunct w:val="0"/>
        <w:bidi w:val="0"/>
        <w:adjustRightInd/>
        <w:spacing w:line="560" w:lineRule="exact"/>
        <w:ind w:left="0" w:leftChars="0" w:right="0" w:firstLine="0" w:firstLineChars="0"/>
        <w:textAlignment w:val="auto"/>
        <w:rPr>
          <w:rFonts w:hint="eastAsia" w:ascii="仿宋_GB2312" w:eastAsia="仿宋_GB2312"/>
          <w:b/>
          <w:bCs/>
          <w:sz w:val="32"/>
          <w:szCs w:val="32"/>
          <w:lang w:eastAsia="zh-CN"/>
        </w:rPr>
      </w:pPr>
    </w:p>
    <w:p>
      <w:pPr>
        <w:pStyle w:val="14"/>
        <w:keepNext w:val="0"/>
        <w:keepLines w:val="0"/>
        <w:pageBreakBefore w:val="0"/>
        <w:widowControl w:val="0"/>
        <w:wordWrap/>
        <w:topLinePunct w:val="0"/>
        <w:bidi w:val="0"/>
        <w:adjustRightInd/>
        <w:spacing w:line="560" w:lineRule="exact"/>
        <w:ind w:left="0" w:leftChars="0" w:right="0" w:firstLine="0" w:firstLineChars="0"/>
        <w:textAlignment w:val="auto"/>
        <w:rPr>
          <w:rFonts w:hint="eastAsia" w:ascii="仿宋_GB2312" w:eastAsia="仿宋_GB2312"/>
          <w:b/>
          <w:bCs/>
          <w:sz w:val="32"/>
          <w:szCs w:val="32"/>
          <w:lang w:eastAsia="zh-CN"/>
        </w:rPr>
      </w:pPr>
    </w:p>
    <w:p>
      <w:pPr>
        <w:pStyle w:val="14"/>
        <w:keepNext w:val="0"/>
        <w:keepLines w:val="0"/>
        <w:pageBreakBefore w:val="0"/>
        <w:widowControl w:val="0"/>
        <w:wordWrap/>
        <w:topLinePunct w:val="0"/>
        <w:bidi w:val="0"/>
        <w:adjustRightInd/>
        <w:spacing w:line="560" w:lineRule="exact"/>
        <w:ind w:left="0" w:leftChars="0" w:right="0" w:firstLine="0" w:firstLineChars="0"/>
        <w:textAlignment w:val="auto"/>
        <w:rPr>
          <w:rFonts w:hint="eastAsia" w:ascii="仿宋_GB2312" w:eastAsia="仿宋_GB2312"/>
          <w:b/>
          <w:bCs/>
          <w:sz w:val="32"/>
          <w:szCs w:val="32"/>
          <w:lang w:eastAsia="zh-CN"/>
        </w:rPr>
      </w:pPr>
    </w:p>
    <w:p>
      <w:pPr>
        <w:pStyle w:val="14"/>
        <w:keepNext w:val="0"/>
        <w:keepLines w:val="0"/>
        <w:pageBreakBefore w:val="0"/>
        <w:widowControl w:val="0"/>
        <w:wordWrap/>
        <w:topLinePunct w:val="0"/>
        <w:bidi w:val="0"/>
        <w:adjustRightInd/>
        <w:spacing w:line="560" w:lineRule="exact"/>
        <w:ind w:left="0" w:leftChars="0" w:right="0" w:firstLine="0" w:firstLineChars="0"/>
        <w:textAlignment w:val="auto"/>
        <w:rPr>
          <w:rFonts w:hint="eastAsia" w:ascii="仿宋_GB2312" w:eastAsia="仿宋_GB2312"/>
          <w:b/>
          <w:bCs/>
          <w:sz w:val="32"/>
          <w:szCs w:val="32"/>
          <w:lang w:eastAsia="zh-CN"/>
        </w:rPr>
      </w:pPr>
    </w:p>
    <w:p>
      <w:pPr>
        <w:pStyle w:val="14"/>
        <w:keepNext w:val="0"/>
        <w:keepLines w:val="0"/>
        <w:pageBreakBefore w:val="0"/>
        <w:widowControl w:val="0"/>
        <w:wordWrap/>
        <w:topLinePunct w:val="0"/>
        <w:bidi w:val="0"/>
        <w:adjustRightInd/>
        <w:spacing w:line="560" w:lineRule="exact"/>
        <w:ind w:left="0" w:leftChars="0" w:right="0" w:firstLine="0" w:firstLineChars="0"/>
        <w:textAlignment w:val="auto"/>
        <w:rPr>
          <w:rFonts w:hint="eastAsia" w:ascii="仿宋_GB2312" w:eastAsia="仿宋_GB2312"/>
          <w:b/>
          <w:bCs/>
          <w:sz w:val="32"/>
          <w:szCs w:val="32"/>
          <w:lang w:eastAsia="zh-CN"/>
        </w:rPr>
      </w:pPr>
    </w:p>
    <w:p>
      <w:pPr>
        <w:pStyle w:val="14"/>
        <w:keepNext w:val="0"/>
        <w:keepLines w:val="0"/>
        <w:pageBreakBefore w:val="0"/>
        <w:widowControl w:val="0"/>
        <w:wordWrap/>
        <w:topLinePunct w:val="0"/>
        <w:bidi w:val="0"/>
        <w:adjustRightInd/>
        <w:spacing w:line="560" w:lineRule="exact"/>
        <w:ind w:left="0" w:leftChars="0" w:right="0" w:firstLine="0" w:firstLineChars="0"/>
        <w:textAlignment w:val="auto"/>
        <w:rPr>
          <w:rFonts w:ascii="仿宋_GB2312" w:hAnsi="宋体" w:eastAsia="仿宋_GB2312" w:cs="Times New Roman"/>
          <w:sz w:val="32"/>
          <w:szCs w:val="32"/>
        </w:rPr>
      </w:pPr>
    </w:p>
    <w:p>
      <w:pPr>
        <w:keepNext w:val="0"/>
        <w:keepLines w:val="0"/>
        <w:pageBreakBefore w:val="0"/>
        <w:widowControl w:val="0"/>
        <w:tabs>
          <w:tab w:val="left" w:pos="3606"/>
        </w:tabs>
        <w:kinsoku/>
        <w:wordWrap/>
        <w:overflowPunct/>
        <w:topLinePunct w:val="0"/>
        <w:autoSpaceDE/>
        <w:autoSpaceDN/>
        <w:bidi w:val="0"/>
        <w:adjustRightInd/>
        <w:snapToGrid/>
        <w:spacing w:line="560" w:lineRule="exact"/>
        <w:ind w:left="0" w:leftChars="0" w:right="0"/>
        <w:jc w:val="left"/>
        <w:textAlignment w:val="auto"/>
        <w:outlineLvl w:val="9"/>
        <w:rPr>
          <w:rFonts w:hint="eastAsia" w:ascii="仿宋_GB2312" w:hAnsi="仿宋_GB2312" w:eastAsia="仿宋_GB2312" w:cs="仿宋_GB2312"/>
          <w:kern w:val="2"/>
          <w:sz w:val="32"/>
          <w:szCs w:val="32"/>
          <w:lang w:val="en-US" w:eastAsia="zh-CN"/>
        </w:rPr>
      </w:pPr>
      <w:r>
        <w:rPr>
          <w:rFonts w:hint="eastAsia" w:ascii="黑体" w:hAnsi="黑体" w:eastAsia="黑体" w:cs="黑体"/>
          <w:b w:val="0"/>
          <w:bCs w:val="0"/>
          <w:sz w:val="32"/>
          <w:szCs w:val="32"/>
          <w:lang w:val="en-US" w:eastAsia="zh-CN"/>
        </w:rPr>
        <w:t>公开方式：</w:t>
      </w:r>
      <w:r>
        <w:rPr>
          <w:rFonts w:hint="eastAsia" w:cs="仿宋_GB2312"/>
          <w:sz w:val="32"/>
          <w:szCs w:val="32"/>
          <w:lang w:val="en-US" w:eastAsia="zh-CN"/>
        </w:rPr>
        <w:t>主动公开</w:t>
      </w:r>
      <w:r>
        <w:rPr>
          <w:rFonts w:hint="eastAsia" w:ascii="仿宋_GB2312" w:hAnsi="仿宋_GB2312" w:eastAsia="仿宋_GB2312" w:cs="仿宋_GB2312"/>
          <w:kern w:val="2"/>
          <w:sz w:val="32"/>
          <w:szCs w:val="32"/>
          <w:lang w:val="en-US" w:eastAsia="zh-CN"/>
        </w:rPr>
        <w:t xml:space="preserve">  </w:t>
      </w:r>
    </w:p>
    <w:p>
      <w:pPr>
        <w:keepNext w:val="0"/>
        <w:keepLines w:val="0"/>
        <w:pageBreakBefore w:val="0"/>
        <w:widowControl w:val="0"/>
        <w:tabs>
          <w:tab w:val="left" w:pos="3606"/>
        </w:tabs>
        <w:kinsoku/>
        <w:wordWrap/>
        <w:overflowPunct/>
        <w:topLinePunct w:val="0"/>
        <w:autoSpaceDE/>
        <w:autoSpaceDN/>
        <w:bidi w:val="0"/>
        <w:adjustRightInd/>
        <w:snapToGrid/>
        <w:spacing w:line="560" w:lineRule="exact"/>
        <w:ind w:left="0" w:leftChars="0" w:right="0"/>
        <w:jc w:val="left"/>
        <w:textAlignment w:val="auto"/>
        <w:outlineLvl w:val="9"/>
        <w:rPr>
          <w:rFonts w:hint="eastAsia" w:ascii="仿宋_GB2312" w:hAnsi="仿宋_GB2312" w:eastAsia="仿宋_GB2312" w:cs="仿宋_GB2312"/>
          <w:kern w:val="2"/>
          <w:sz w:val="32"/>
          <w:szCs w:val="32"/>
          <w:lang w:val="en-US" w:eastAsia="zh-CN"/>
        </w:rPr>
      </w:pPr>
      <w:r>
        <w:rPr>
          <w:rFonts w:hint="default" w:ascii="仿宋_GB2312" w:hAnsi="仿宋_GB2312" w:eastAsia="仿宋_GB2312" w:cs="仿宋_GB2312"/>
          <w:kern w:val="2"/>
          <w:sz w:val="28"/>
          <w:szCs w:val="28"/>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321945</wp:posOffset>
                </wp:positionV>
                <wp:extent cx="5760085" cy="9525"/>
                <wp:effectExtent l="0" t="0" r="0" b="0"/>
                <wp:wrapNone/>
                <wp:docPr id="7" name="直接箭头连接符 7"/>
                <wp:cNvGraphicFramePr/>
                <a:graphic xmlns:a="http://schemas.openxmlformats.org/drawingml/2006/main">
                  <a:graphicData uri="http://schemas.microsoft.com/office/word/2010/wordprocessingShape">
                    <wps:wsp>
                      <wps:cNvCnPr/>
                      <wps:spPr>
                        <a:xfrm flipV="1">
                          <a:off x="0" y="0"/>
                          <a:ext cx="5760085" cy="95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4.4pt;margin-top:25.35pt;height:0.75pt;width:453.55pt;z-index:251663360;mso-width-relative:page;mso-height-relative:page;" filled="f" stroked="t" coordsize="21600,21600" o:gfxdata="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&#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eXSb1gAAAAgBAAAPAAAAAAAAAAEAIAAAACIAAABk&#10;cnMvZG93bnJldi54bWxQSwECFAAUAAAACACHTuJAI40+nQgCAAAHBAAADgAAAAAAAAABACAAAAAl&#10;AQAAZHJzL2Uyb0RvYy54bWxQSwUGAAAAAAYABgBZAQAAnwUAAAAA&#10;">
                <v:fill on="f" focussize="0,0"/>
                <v:stroke color="#000000" joinstyle="round"/>
                <v:imagedata o:title=""/>
                <o:lock v:ext="edit" aspectratio="f"/>
              </v:shape>
            </w:pict>
          </mc:Fallback>
        </mc:AlternateContent>
      </w:r>
      <w:r>
        <w:rPr>
          <w:rFonts w:hint="eastAsia" w:ascii="仿宋_GB2312" w:hAnsi="仿宋_GB2312" w:eastAsia="仿宋_GB2312" w:cs="仿宋_GB2312"/>
          <w:kern w:val="2"/>
          <w:sz w:val="32"/>
          <w:szCs w:val="32"/>
          <w:lang w:val="en-US" w:eastAsia="zh-CN"/>
        </w:rPr>
        <w:t xml:space="preserve"> </w:t>
      </w:r>
    </w:p>
    <w:p>
      <w:pPr>
        <w:keepNext w:val="0"/>
        <w:keepLines w:val="0"/>
        <w:pageBreakBefore w:val="0"/>
        <w:widowControl w:val="0"/>
        <w:tabs>
          <w:tab w:val="left" w:pos="3606"/>
        </w:tabs>
        <w:kinsoku/>
        <w:wordWrap/>
        <w:overflowPunct/>
        <w:topLinePunct w:val="0"/>
        <w:autoSpaceDE/>
        <w:autoSpaceDN/>
        <w:bidi w:val="0"/>
        <w:adjustRightInd/>
        <w:snapToGrid/>
        <w:spacing w:line="560" w:lineRule="exact"/>
        <w:ind w:left="0" w:leftChars="0" w:right="0"/>
        <w:jc w:val="left"/>
        <w:textAlignment w:val="auto"/>
        <w:outlineLvl w:val="9"/>
        <w:rPr>
          <w:rFonts w:hint="default" w:ascii="仿宋_GB2312" w:eastAsia="仿宋_GB2312"/>
          <w:spacing w:val="-16"/>
          <w:sz w:val="28"/>
          <w:szCs w:val="28"/>
          <w:lang w:val="en-US"/>
        </w:rPr>
      </w:pPr>
      <w:r>
        <w:rPr>
          <w:rFonts w:hint="eastAsia" w:ascii="仿宋_GB2312" w:hAnsi="仿宋_GB2312" w:eastAsia="仿宋_GB2312" w:cs="仿宋_GB2312"/>
          <w:kern w:val="2"/>
          <w:sz w:val="28"/>
          <w:szCs w:val="28"/>
          <w:lang w:val="en-US" w:eastAsia="zh-CN"/>
        </w:rPr>
        <w:t xml:space="preserve">  </w:t>
      </w:r>
      <w:r>
        <w:rPr>
          <w:rFonts w:hint="eastAsia" w:cs="仿宋_GB2312"/>
          <w:kern w:val="2"/>
          <w:sz w:val="28"/>
          <w:szCs w:val="28"/>
          <w:lang w:val="en-US" w:eastAsia="zh-CN"/>
        </w:rPr>
        <w:t>抄送：邢翔书记、李晓东区长、王勇常务副区长。</w:t>
      </w:r>
    </w:p>
    <w:p>
      <w:pPr>
        <w:pStyle w:val="17"/>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276" w:firstLineChars="100"/>
        <w:textAlignment w:val="auto"/>
        <w:outlineLvl w:val="9"/>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368935</wp:posOffset>
                </wp:positionV>
                <wp:extent cx="5760085" cy="9525"/>
                <wp:effectExtent l="0" t="0" r="0" b="0"/>
                <wp:wrapNone/>
                <wp:docPr id="5" name="直接箭头连接符 5"/>
                <wp:cNvGraphicFramePr/>
                <a:graphic xmlns:a="http://schemas.openxmlformats.org/drawingml/2006/main">
                  <a:graphicData uri="http://schemas.microsoft.com/office/word/2010/wordprocessingShape">
                    <wps:wsp>
                      <wps:cNvCnPr/>
                      <wps:spPr>
                        <a:xfrm flipV="1">
                          <a:off x="0" y="0"/>
                          <a:ext cx="5848350" cy="95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4.4pt;margin-top:29.05pt;height:0.75pt;width:453.55pt;z-index:251660288;mso-width-relative:page;mso-height-relative:page;" filled="f" stroked="t" coordsize="21600,21600" o:gfxdata="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C1CFXXAAAACAEAAA8AAAAAAAAAAQAgAAAAIgAA&#10;AGRycy9kb3ducmV2LnhtbFBLAQIUABQAAAAIAIdO4kDZlz0gCQIAAAcEAAAOAAAAAAAAAAEAIAAA&#10;ACYBAABkcnMvZTJvRG9jLnhtbFBLBQYAAAAABgAGAFkBAAChBQAAAAA=&#10;">
                <v:fill on="f" focussize="0,0"/>
                <v:stroke color="#000000" joinstyle="round"/>
                <v:imagedata o:title=""/>
                <o:lock v:ext="edit" aspectratio="f"/>
              </v:shape>
            </w:pict>
          </mc:Fallback>
        </mc:AlternateContent>
      </w:r>
      <w:r>
        <w:rPr>
          <w:rFonts w:hint="default" w:ascii="仿宋_GB2312" w:hAnsi="仿宋_GB2312" w:eastAsia="仿宋_GB2312" w:cs="仿宋_GB2312"/>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10795</wp:posOffset>
                </wp:positionV>
                <wp:extent cx="5760085" cy="9525"/>
                <wp:effectExtent l="0" t="0" r="0" b="0"/>
                <wp:wrapNone/>
                <wp:docPr id="6" name="直接箭头连接符 6"/>
                <wp:cNvGraphicFramePr/>
                <a:graphic xmlns:a="http://schemas.openxmlformats.org/drawingml/2006/main">
                  <a:graphicData uri="http://schemas.microsoft.com/office/word/2010/wordprocessingShape">
                    <wps:wsp>
                      <wps:cNvCnPr/>
                      <wps:spPr>
                        <a:xfrm flipV="1">
                          <a:off x="0" y="0"/>
                          <a:ext cx="5848350" cy="95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3.65pt;margin-top:0.85pt;height:0.75pt;width:453.55pt;z-index:251659264;mso-width-relative:page;mso-height-relative:page;" filled="f" stroked="t" coordsize="21600,21600" o:gfxdata="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&#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AWtBT1QAAAAYBAAAPAAAAAAAAAAEAIAAAACIAAABk&#10;cnMvZG93bnJldi54bWxQSwECFAAUAAAACACHTuJAczGaXQkCAAAHBAAADgAAAAAAAAABACAAAAAk&#10;AQAAZHJzL2Uyb0RvYy54bWxQSwUGAAAAAAYABgBZAQAAnwUAAAAA&#10;">
                <v:fill on="f" focussize="0,0"/>
                <v:stroke color="#000000" joinstyle="round"/>
                <v:imagedata o:title=""/>
                <o:lock v:ext="edit" aspectratio="f"/>
              </v:shape>
            </w:pict>
          </mc:Fallback>
        </mc:AlternateContent>
      </w:r>
      <w:r>
        <w:rPr>
          <w:rFonts w:hint="eastAsia" w:ascii="仿宋_GB2312" w:hAnsi="仿宋_GB2312" w:eastAsia="仿宋_GB2312" w:cs="仿宋_GB2312"/>
          <w:kern w:val="2"/>
          <w:sz w:val="28"/>
          <w:szCs w:val="28"/>
          <w:lang w:val="en-US" w:eastAsia="zh-CN" w:bidi="ar-SA"/>
        </w:rPr>
        <w:t>广州市花都区</w:t>
      </w:r>
      <w:r>
        <w:rPr>
          <w:rFonts w:hint="eastAsia" w:ascii="仿宋_GB2312" w:hAnsi="仿宋_GB2312" w:cs="仿宋_GB2312"/>
          <w:kern w:val="2"/>
          <w:sz w:val="28"/>
          <w:szCs w:val="28"/>
          <w:lang w:val="en-US" w:eastAsia="zh-CN" w:bidi="ar-SA"/>
        </w:rPr>
        <w:t>安全生产委员会</w:t>
      </w:r>
      <w:r>
        <w:rPr>
          <w:rFonts w:hint="eastAsia" w:ascii="仿宋_GB2312" w:hAnsi="仿宋_GB2312" w:eastAsia="仿宋_GB2312" w:cs="仿宋_GB2312"/>
          <w:kern w:val="2"/>
          <w:sz w:val="28"/>
          <w:szCs w:val="28"/>
          <w:lang w:val="en-US" w:eastAsia="zh-CN" w:bidi="ar-SA"/>
        </w:rPr>
        <w:t xml:space="preserve">办公室    </w:t>
      </w:r>
      <w:r>
        <w:rPr>
          <w:rFonts w:hint="eastAsia" w:ascii="仿宋_GB2312" w:hAnsi="仿宋_GB2312" w:cs="仿宋_GB2312"/>
          <w:kern w:val="2"/>
          <w:sz w:val="28"/>
          <w:szCs w:val="28"/>
          <w:lang w:val="en-US" w:eastAsia="zh-CN" w:bidi="ar-SA"/>
        </w:rPr>
        <w:t xml:space="preserve">    2024</w:t>
      </w:r>
      <w:r>
        <w:rPr>
          <w:rFonts w:hint="eastAsia" w:ascii="仿宋_GB2312" w:hAnsi="仿宋_GB2312" w:eastAsia="仿宋_GB2312" w:cs="仿宋_GB2312"/>
          <w:kern w:val="2"/>
          <w:sz w:val="28"/>
          <w:szCs w:val="28"/>
          <w:lang w:val="en-US" w:eastAsia="zh-CN" w:bidi="ar-SA"/>
        </w:rPr>
        <w:t>年</w:t>
      </w:r>
      <w:r>
        <w:rPr>
          <w:rFonts w:hint="eastAsia" w:ascii="仿宋_GB2312" w:hAnsi="仿宋_GB2312" w:cs="仿宋_GB2312"/>
          <w:kern w:val="2"/>
          <w:sz w:val="28"/>
          <w:szCs w:val="28"/>
          <w:lang w:val="en-US" w:eastAsia="zh-CN" w:bidi="ar-SA"/>
        </w:rPr>
        <w:t>5</w:t>
      </w:r>
      <w:r>
        <w:rPr>
          <w:rFonts w:hint="eastAsia" w:ascii="仿宋_GB2312" w:hAnsi="仿宋_GB2312" w:eastAsia="仿宋_GB2312" w:cs="仿宋_GB2312"/>
          <w:kern w:val="2"/>
          <w:sz w:val="28"/>
          <w:szCs w:val="28"/>
          <w:lang w:val="en-US" w:eastAsia="zh-CN" w:bidi="ar-SA"/>
        </w:rPr>
        <w:t>月</w:t>
      </w:r>
      <w:r>
        <w:rPr>
          <w:rFonts w:hint="eastAsia" w:ascii="仿宋_GB2312" w:hAnsi="仿宋_GB2312" w:cs="仿宋_GB2312"/>
          <w:kern w:val="2"/>
          <w:sz w:val="28"/>
          <w:szCs w:val="28"/>
          <w:lang w:val="en-US" w:eastAsia="zh-CN" w:bidi="ar-SA"/>
        </w:rPr>
        <w:t>17</w:t>
      </w:r>
      <w:r>
        <w:rPr>
          <w:rFonts w:hint="eastAsia" w:ascii="仿宋_GB2312" w:hAnsi="仿宋_GB2312" w:eastAsia="仿宋_GB2312" w:cs="仿宋_GB2312"/>
          <w:kern w:val="2"/>
          <w:sz w:val="28"/>
          <w:szCs w:val="28"/>
          <w:lang w:val="en-US" w:eastAsia="zh-CN" w:bidi="ar-SA"/>
        </w:rPr>
        <w:t xml:space="preserve">日印发 </w:t>
      </w:r>
    </w:p>
    <w:sectPr>
      <w:headerReference r:id="rId4" w:type="default"/>
      <w:footerReference r:id="rId5" w:type="default"/>
      <w:pgSz w:w="11906" w:h="16838"/>
      <w:pgMar w:top="2098" w:right="1474" w:bottom="1984" w:left="1588" w:header="851" w:footer="992" w:gutter="0"/>
      <w:pgBorders>
        <w:top w:val="none" w:sz="0" w:space="0"/>
        <w:left w:val="none" w:sz="0" w:space="0"/>
        <w:bottom w:val="none" w:sz="0" w:space="0"/>
        <w:right w:val="none" w:sz="0" w:space="0"/>
      </w:pgBorders>
      <w:pgNumType w:fmt="decimal"/>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344"/>
      <w:rPr>
        <w:rFonts w:ascii="宋体" w:hAnsi="宋体" w:eastAsia="宋体" w:cs="宋体"/>
        <w:sz w:val="31"/>
        <w:szCs w:val="31"/>
      </w:rPr>
    </w:pPr>
    <w:r>
      <w:rPr>
        <w:sz w:val="3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D7ED3"/>
    <w:multiLevelType w:val="singleLevel"/>
    <w:tmpl w:val="17FD7ED3"/>
    <w:lvl w:ilvl="0" w:tentative="0">
      <w:start w:val="1"/>
      <w:numFmt w:val="chineseCounting"/>
      <w:suff w:val="nothing"/>
      <w:lvlText w:val="%1、"/>
      <w:lvlJc w:val="left"/>
      <w:rPr>
        <w:rFonts w:hint="eastAsia"/>
      </w:rPr>
    </w:lvl>
  </w:abstractNum>
  <w:abstractNum w:abstractNumId="1">
    <w:nsid w:val="7899039D"/>
    <w:multiLevelType w:val="singleLevel"/>
    <w:tmpl w:val="7899039D"/>
    <w:lvl w:ilvl="0" w:tentative="0">
      <w:start w:val="2"/>
      <w:numFmt w:val="chineseCounting"/>
      <w:suff w:val="nothing"/>
      <w:lvlText w:val="%1、"/>
      <w:lvlJc w:val="left"/>
      <w:rPr>
        <w:rFonts w:hint="eastAsia" w:ascii="黑体" w:hAnsi="黑体" w:eastAsia="黑体" w:cs="黑体"/>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A0F57"/>
    <w:rsid w:val="00085462"/>
    <w:rsid w:val="001B0F05"/>
    <w:rsid w:val="00424122"/>
    <w:rsid w:val="005B5F00"/>
    <w:rsid w:val="00812A9C"/>
    <w:rsid w:val="008C33B0"/>
    <w:rsid w:val="009829A6"/>
    <w:rsid w:val="00BE296E"/>
    <w:rsid w:val="00BF7871"/>
    <w:rsid w:val="05D94122"/>
    <w:rsid w:val="06045AF6"/>
    <w:rsid w:val="07D766B0"/>
    <w:rsid w:val="07DE7F86"/>
    <w:rsid w:val="094B74C1"/>
    <w:rsid w:val="0A165504"/>
    <w:rsid w:val="0A4A1CE8"/>
    <w:rsid w:val="0B104020"/>
    <w:rsid w:val="0CF90E65"/>
    <w:rsid w:val="0E2E5E68"/>
    <w:rsid w:val="0EE35D5B"/>
    <w:rsid w:val="135E2B68"/>
    <w:rsid w:val="14371F3C"/>
    <w:rsid w:val="146328C1"/>
    <w:rsid w:val="14843732"/>
    <w:rsid w:val="15002A71"/>
    <w:rsid w:val="18CA263F"/>
    <w:rsid w:val="18EA4599"/>
    <w:rsid w:val="1FED6BCB"/>
    <w:rsid w:val="20A05887"/>
    <w:rsid w:val="21056F39"/>
    <w:rsid w:val="2215497C"/>
    <w:rsid w:val="2276276D"/>
    <w:rsid w:val="25D7723C"/>
    <w:rsid w:val="26B35423"/>
    <w:rsid w:val="26C25E11"/>
    <w:rsid w:val="26F34DA3"/>
    <w:rsid w:val="281D7BFA"/>
    <w:rsid w:val="2AAC0232"/>
    <w:rsid w:val="2AC32054"/>
    <w:rsid w:val="2D6A3ECA"/>
    <w:rsid w:val="2DA12447"/>
    <w:rsid w:val="2F4675C8"/>
    <w:rsid w:val="2F844E0E"/>
    <w:rsid w:val="2FA464F1"/>
    <w:rsid w:val="325C2101"/>
    <w:rsid w:val="32BF5F1F"/>
    <w:rsid w:val="32FB3A3E"/>
    <w:rsid w:val="33192EC8"/>
    <w:rsid w:val="33444358"/>
    <w:rsid w:val="354A3D8A"/>
    <w:rsid w:val="36360FB4"/>
    <w:rsid w:val="36987E98"/>
    <w:rsid w:val="37C2555C"/>
    <w:rsid w:val="389A3B1B"/>
    <w:rsid w:val="399D659A"/>
    <w:rsid w:val="3B0E5C49"/>
    <w:rsid w:val="3BA06D18"/>
    <w:rsid w:val="3BD10385"/>
    <w:rsid w:val="3DB23E71"/>
    <w:rsid w:val="3F9A6E96"/>
    <w:rsid w:val="409E066E"/>
    <w:rsid w:val="41403CE8"/>
    <w:rsid w:val="43264589"/>
    <w:rsid w:val="483504AF"/>
    <w:rsid w:val="48920C30"/>
    <w:rsid w:val="4A117804"/>
    <w:rsid w:val="4A1F1CE0"/>
    <w:rsid w:val="4AE26598"/>
    <w:rsid w:val="4D6B0ED2"/>
    <w:rsid w:val="4EEA0F57"/>
    <w:rsid w:val="5057141A"/>
    <w:rsid w:val="555733AE"/>
    <w:rsid w:val="557B0A50"/>
    <w:rsid w:val="56AB218D"/>
    <w:rsid w:val="56CC312F"/>
    <w:rsid w:val="57B9387A"/>
    <w:rsid w:val="58082B01"/>
    <w:rsid w:val="585E5F4E"/>
    <w:rsid w:val="58D7707F"/>
    <w:rsid w:val="5AD11886"/>
    <w:rsid w:val="5BBE6C36"/>
    <w:rsid w:val="5DE052C1"/>
    <w:rsid w:val="605B649C"/>
    <w:rsid w:val="61090FF8"/>
    <w:rsid w:val="63E44E27"/>
    <w:rsid w:val="641E7C37"/>
    <w:rsid w:val="647C358B"/>
    <w:rsid w:val="65D86663"/>
    <w:rsid w:val="66BB673D"/>
    <w:rsid w:val="671B6510"/>
    <w:rsid w:val="68CE4868"/>
    <w:rsid w:val="690952F6"/>
    <w:rsid w:val="6A1E0D6D"/>
    <w:rsid w:val="6BFE1E79"/>
    <w:rsid w:val="6D700809"/>
    <w:rsid w:val="6D98541A"/>
    <w:rsid w:val="70CF1D45"/>
    <w:rsid w:val="72451EB2"/>
    <w:rsid w:val="727B4383"/>
    <w:rsid w:val="73667CF8"/>
    <w:rsid w:val="7392063A"/>
    <w:rsid w:val="73B141FE"/>
    <w:rsid w:val="752C43A0"/>
    <w:rsid w:val="78210E42"/>
    <w:rsid w:val="78FA6326"/>
    <w:rsid w:val="79D87AF1"/>
    <w:rsid w:val="7B2957DC"/>
    <w:rsid w:val="7C6301C7"/>
    <w:rsid w:val="7EBE65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cs="Times New Roman"/>
    </w:rPr>
  </w:style>
  <w:style w:type="paragraph" w:styleId="3">
    <w:name w:val="Body Text"/>
    <w:basedOn w:val="1"/>
    <w:qFormat/>
    <w:uiPriority w:val="0"/>
    <w:rPr>
      <w:sz w:val="32"/>
    </w:rPr>
  </w:style>
  <w:style w:type="paragraph" w:styleId="4">
    <w:name w:val="Balloon Text"/>
    <w:basedOn w:val="1"/>
    <w:qFormat/>
    <w:uiPriority w:val="0"/>
    <w:rPr>
      <w:sz w:val="18"/>
      <w:szCs w:val="18"/>
    </w:rPr>
  </w:style>
  <w:style w:type="paragraph" w:styleId="5">
    <w:name w:val="footer"/>
    <w:basedOn w:val="1"/>
    <w:link w:val="15"/>
    <w:uiPriority w:val="99"/>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8">
    <w:name w:val="Title"/>
    <w:basedOn w:val="1"/>
    <w:next w:val="1"/>
    <w:link w:val="16"/>
    <w:qFormat/>
    <w:uiPriority w:val="0"/>
    <w:pPr>
      <w:spacing w:before="240" w:beforeLines="0" w:after="60" w:afterLines="0"/>
      <w:jc w:val="center"/>
      <w:outlineLvl w:val="0"/>
    </w:pPr>
    <w:rPr>
      <w:rFonts w:ascii="Cambria" w:hAnsi="Cambria" w:cs="Times New Roman"/>
      <w:b/>
      <w:bCs/>
      <w:kern w:val="2"/>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page number"/>
    <w:basedOn w:val="11"/>
    <w:uiPriority w:val="0"/>
  </w:style>
  <w:style w:type="paragraph" w:customStyle="1" w:styleId="14">
    <w:name w:val="正文缩进1"/>
    <w:basedOn w:val="1"/>
    <w:qFormat/>
    <w:uiPriority w:val="0"/>
    <w:pPr>
      <w:ind w:firstLine="420" w:firstLineChars="200"/>
    </w:pPr>
    <w:rPr>
      <w:rFonts w:hint="eastAsia"/>
    </w:rPr>
  </w:style>
  <w:style w:type="character" w:customStyle="1" w:styleId="15">
    <w:name w:val="页脚 字符"/>
    <w:link w:val="5"/>
    <w:uiPriority w:val="99"/>
    <w:rPr>
      <w:kern w:val="2"/>
      <w:sz w:val="18"/>
    </w:rPr>
  </w:style>
  <w:style w:type="character" w:customStyle="1" w:styleId="16">
    <w:name w:val="标题 字符"/>
    <w:link w:val="8"/>
    <w:uiPriority w:val="0"/>
    <w:rPr>
      <w:rFonts w:ascii="Cambria" w:hAnsi="Cambria" w:cs="Times New Roman"/>
      <w:b/>
      <w:bCs/>
      <w:kern w:val="2"/>
      <w:sz w:val="32"/>
      <w:szCs w:val="32"/>
    </w:rPr>
  </w:style>
  <w:style w:type="paragraph" w:customStyle="1" w:styleId="17">
    <w:name w:val="p0"/>
    <w:basedOn w:val="1"/>
    <w:qFormat/>
    <w:uiPriority w:val="0"/>
    <w:pPr>
      <w:widowControl/>
    </w:pPr>
    <w:rPr>
      <w:rFonts w:hint="eastAsia" w:ascii="Calibri" w:hAnsi="Calibri"/>
    </w:rPr>
  </w:style>
  <w:style w:type="paragraph" w:customStyle="1" w:styleId="18">
    <w:name w:val=" Char Char Char Char"/>
    <w:basedOn w:val="1"/>
    <w:qFormat/>
    <w:uiPriority w:val="0"/>
    <w:pPr>
      <w:widowControl/>
      <w:adjustRightInd w:val="0"/>
      <w:spacing w:after="160" w:afterLines="0" w:line="240" w:lineRule="exact"/>
      <w:jc w:val="left"/>
      <w:textAlignment w:val="baseline"/>
    </w:pPr>
  </w:style>
  <w:style w:type="character" w:customStyle="1" w:styleId="19">
    <w:name w:val="font1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360zip$Temp\360$0\&#33457;&#23433;&#21150;%5b2024%5d%20&#32418;&#22836;&#65288;2024&#29256;&#65289;.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花安办[2024] 红头（2024版）.wpt</Template>
  <Company>区应急管理局</Company>
  <Pages>22</Pages>
  <Words>11146</Words>
  <Characters>11416</Characters>
  <Lines>27</Lines>
  <Paragraphs>7</Paragraphs>
  <TotalTime>2</TotalTime>
  <ScaleCrop>false</ScaleCrop>
  <LinksUpToDate>false</LinksUpToDate>
  <CharactersWithSpaces>11468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2024-05-16T08:54:00Z</dcterms:created>
  <dc:creator>admin</dc:creator>
  <cp:lastModifiedBy>hh。hh</cp:lastModifiedBy>
  <cp:lastPrinted>2024-05-20T03:14:00Z</cp:lastPrinted>
  <dcterms:modified xsi:type="dcterms:W3CDTF">2024-05-20T03:52:27Z</dcterms:modified>
  <dc:title>关于成立花都区狮岭镇自建房“8·29”</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