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Times New Roman" w:eastAsia="宋体" w:cs="宋体"/>
          <w:b/>
          <w:bCs/>
          <w:sz w:val="32"/>
          <w:szCs w:val="32"/>
          <w:lang w:val="en-US" w:eastAsia="zh-CN"/>
        </w:rPr>
      </w:pPr>
      <w:bookmarkStart w:id="0" w:name="_GoBack"/>
      <w:r>
        <w:rPr>
          <w:rFonts w:hint="eastAsia" w:ascii="宋体" w:hAnsi="Times New Roman" w:cs="宋体"/>
          <w:b/>
          <w:bCs/>
          <w:sz w:val="32"/>
          <w:szCs w:val="32"/>
          <w:lang w:val="en-US" w:eastAsia="zh-CN"/>
        </w:rPr>
        <w:t>附件2</w:t>
      </w:r>
    </w:p>
    <w:bookmarkEnd w:id="0"/>
    <w:p>
      <w:pPr>
        <w:jc w:val="center"/>
        <w:rPr>
          <w:rFonts w:hint="eastAsia" w:ascii="宋体" w:hAnsi="Times New Roman" w:eastAsia="宋体" w:cs="宋体"/>
          <w:b/>
          <w:bCs/>
          <w:sz w:val="32"/>
          <w:szCs w:val="32"/>
          <w:lang w:val="en-US" w:eastAsia="zh-CN"/>
        </w:rPr>
      </w:pPr>
      <w:r>
        <w:rPr>
          <w:rFonts w:hint="eastAsia" w:ascii="宋体" w:hAnsi="Times New Roman" w:eastAsia="宋体" w:cs="宋体"/>
          <w:b/>
          <w:bCs/>
          <w:sz w:val="32"/>
          <w:szCs w:val="32"/>
          <w:lang w:val="en-US" w:eastAsia="zh-CN"/>
        </w:rPr>
        <w:t>2024年花都区农作物重大病虫害防控（区级）项目</w:t>
      </w:r>
    </w:p>
    <w:p>
      <w:pPr>
        <w:jc w:val="center"/>
        <w:rPr>
          <w:rFonts w:hint="eastAsia" w:ascii="宋体" w:hAnsi="Times New Roman" w:eastAsia="宋体" w:cs="宋体"/>
          <w:b/>
          <w:bCs/>
          <w:sz w:val="32"/>
          <w:szCs w:val="32"/>
          <w:lang w:val="en-US" w:eastAsia="zh-CN"/>
        </w:rPr>
      </w:pPr>
      <w:r>
        <w:rPr>
          <w:rFonts w:hint="eastAsia" w:ascii="宋体" w:hAnsi="Times New Roman" w:eastAsia="宋体" w:cs="宋体"/>
          <w:b/>
          <w:bCs/>
          <w:sz w:val="32"/>
          <w:szCs w:val="32"/>
          <w:lang w:val="en-US" w:eastAsia="zh-CN"/>
        </w:rPr>
        <w:t>指标及评分标准</w:t>
      </w:r>
    </w:p>
    <w:tbl>
      <w:tblPr>
        <w:tblStyle w:val="7"/>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761"/>
        <w:gridCol w:w="6743"/>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94" w:type="dxa"/>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761" w:type="dxa"/>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评分内容</w:t>
            </w:r>
          </w:p>
        </w:tc>
        <w:tc>
          <w:tcPr>
            <w:tcW w:w="6743" w:type="dxa"/>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1000" w:type="dxa"/>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4" w:type="dxa"/>
            <w:noWrap w:val="0"/>
            <w:vAlign w:val="center"/>
          </w:tcPr>
          <w:p>
            <w:pPr>
              <w:numPr>
                <w:ilvl w:val="0"/>
                <w:numId w:val="1"/>
              </w:numPr>
              <w:spacing w:line="360" w:lineRule="auto"/>
              <w:ind w:left="425" w:leftChars="0" w:hanging="425" w:firstLineChars="0"/>
              <w:jc w:val="center"/>
              <w:rPr>
                <w:rFonts w:hint="eastAsia" w:ascii="宋体" w:hAnsi="宋体" w:eastAsia="宋体" w:cs="宋体"/>
                <w:b w:val="0"/>
                <w:bCs w:val="0"/>
                <w:color w:val="auto"/>
                <w:sz w:val="24"/>
                <w:szCs w:val="24"/>
                <w:highlight w:val="none"/>
              </w:rPr>
            </w:pPr>
          </w:p>
        </w:tc>
        <w:tc>
          <w:tcPr>
            <w:tcW w:w="1761" w:type="dxa"/>
            <w:noWrap w:val="0"/>
            <w:vAlign w:val="center"/>
          </w:tcPr>
          <w:p>
            <w:pPr>
              <w:bidi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rPr>
              <w:t>投标报价得分</w:t>
            </w:r>
          </w:p>
        </w:tc>
        <w:tc>
          <w:tcPr>
            <w:tcW w:w="6743" w:type="dxa"/>
            <w:noWrap w:val="0"/>
            <w:vAlign w:val="center"/>
          </w:tcPr>
          <w:p>
            <w:pPr>
              <w:snapToGrid w:val="0"/>
              <w:spacing w:line="360" w:lineRule="auto"/>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lang w:val="en-US" w:eastAsia="zh-CN"/>
              </w:rPr>
              <w:t>符合报价要求的得10分，不符合的不得分</w:t>
            </w:r>
            <w:r>
              <w:rPr>
                <w:rFonts w:hint="eastAsia" w:asciiTheme="minorEastAsia" w:hAnsiTheme="minorEastAsia" w:eastAsiaTheme="minorEastAsia" w:cstheme="minorEastAsia"/>
                <w:color w:val="auto"/>
                <w:kern w:val="2"/>
                <w:sz w:val="24"/>
                <w:szCs w:val="24"/>
              </w:rPr>
              <w:t>。</w:t>
            </w:r>
          </w:p>
        </w:tc>
        <w:tc>
          <w:tcPr>
            <w:tcW w:w="1000" w:type="dxa"/>
            <w:noWrap w:val="0"/>
            <w:vAlign w:val="center"/>
          </w:tcPr>
          <w:p>
            <w:pPr>
              <w:snapToGrid w:val="0"/>
              <w:spacing w:line="360" w:lineRule="auto"/>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594" w:type="dxa"/>
            <w:noWrap w:val="0"/>
            <w:vAlign w:val="center"/>
          </w:tcPr>
          <w:p>
            <w:pPr>
              <w:numPr>
                <w:ilvl w:val="0"/>
                <w:numId w:val="1"/>
              </w:numPr>
              <w:spacing w:line="360" w:lineRule="auto"/>
              <w:ind w:left="425" w:leftChars="0" w:hanging="425" w:firstLineChars="0"/>
              <w:jc w:val="center"/>
              <w:rPr>
                <w:rFonts w:hint="eastAsia" w:ascii="宋体" w:hAnsi="宋体" w:eastAsia="宋体" w:cs="宋体"/>
                <w:b w:val="0"/>
                <w:bCs w:val="0"/>
                <w:color w:val="auto"/>
                <w:sz w:val="24"/>
                <w:szCs w:val="24"/>
                <w:highlight w:val="none"/>
              </w:rPr>
            </w:pPr>
          </w:p>
        </w:tc>
        <w:tc>
          <w:tcPr>
            <w:tcW w:w="1761" w:type="dxa"/>
            <w:noWrap w:val="0"/>
            <w:vAlign w:val="center"/>
          </w:tcPr>
          <w:p>
            <w:pPr>
              <w:spacing w:line="360" w:lineRule="auto"/>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项目整体服务方案</w:t>
            </w:r>
          </w:p>
        </w:tc>
        <w:tc>
          <w:tcPr>
            <w:tcW w:w="6743" w:type="dxa"/>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kern w:val="2"/>
                <w:sz w:val="24"/>
                <w:szCs w:val="24"/>
                <w:highlight w:val="none"/>
                <w:lang w:val="en-US" w:eastAsia="zh-CN" w:bidi="ar-SA"/>
              </w:rPr>
              <w:t>投标人</w:t>
            </w:r>
            <w:r>
              <w:rPr>
                <w:rFonts w:hint="eastAsia" w:asciiTheme="minorEastAsia" w:hAnsiTheme="minorEastAsia" w:eastAsiaTheme="minorEastAsia" w:cstheme="minorEastAsia"/>
                <w:color w:val="auto"/>
                <w:sz w:val="24"/>
                <w:szCs w:val="24"/>
                <w:highlight w:val="none"/>
              </w:rPr>
              <w:t>对本次项目的整体技术方案说明和组织实施服务作业的完整性、安全性、针对性、可行性、计划安排及重点与难点分析并提出合理化建议等进行</w:t>
            </w:r>
            <w:r>
              <w:rPr>
                <w:rFonts w:hint="eastAsia" w:asciiTheme="minorEastAsia" w:hAnsiTheme="minorEastAsia" w:eastAsiaTheme="minorEastAsia" w:cstheme="minorEastAsia"/>
                <w:b w:val="0"/>
                <w:bCs/>
                <w:color w:val="auto"/>
                <w:kern w:val="0"/>
                <w:sz w:val="24"/>
                <w:szCs w:val="24"/>
                <w:highlight w:val="none"/>
                <w:lang w:val="en-US" w:eastAsia="zh-CN"/>
              </w:rPr>
              <w:t>综合评价</w:t>
            </w:r>
            <w:r>
              <w:rPr>
                <w:rFonts w:hint="eastAsia" w:asciiTheme="minorEastAsia" w:hAnsiTheme="minorEastAsia" w:eastAsiaTheme="minorEastAsia" w:cstheme="minorEastAsia"/>
                <w:color w:val="auto"/>
                <w:sz w:val="24"/>
                <w:szCs w:val="24"/>
                <w:highlight w:val="none"/>
              </w:rPr>
              <w:t>。</w:t>
            </w:r>
          </w:p>
          <w:p>
            <w:pPr>
              <w:spacing w:line="360" w:lineRule="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bCs/>
                <w:color w:val="auto"/>
                <w:kern w:val="0"/>
                <w:sz w:val="24"/>
                <w:szCs w:val="24"/>
                <w:highlight w:val="none"/>
              </w:rPr>
              <w:t>优</w:t>
            </w:r>
            <w:r>
              <w:rPr>
                <w:rFonts w:hint="eastAsia" w:asciiTheme="minorEastAsia" w:hAnsiTheme="minorEastAsia" w:eastAsiaTheme="minorEastAsia" w:cstheme="minorEastAsia"/>
                <w:bCs/>
                <w:color w:val="auto"/>
                <w:kern w:val="0"/>
                <w:sz w:val="24"/>
                <w:szCs w:val="24"/>
                <w:highlight w:val="none"/>
                <w:lang w:val="en-US" w:eastAsia="zh-CN"/>
              </w:rPr>
              <w:t>得15</w:t>
            </w:r>
            <w:r>
              <w:rPr>
                <w:rFonts w:hint="eastAsia" w:asciiTheme="minorEastAsia" w:hAnsiTheme="minorEastAsia" w:eastAsiaTheme="minorEastAsia" w:cstheme="minorEastAsia"/>
                <w:bCs/>
                <w:color w:val="auto"/>
                <w:kern w:val="0"/>
                <w:sz w:val="24"/>
                <w:szCs w:val="24"/>
                <w:highlight w:val="none"/>
              </w:rPr>
              <w:t>分，良</w:t>
            </w:r>
            <w:r>
              <w:rPr>
                <w:rFonts w:hint="eastAsia" w:asciiTheme="minorEastAsia" w:hAnsiTheme="minorEastAsia" w:eastAsiaTheme="minorEastAsia" w:cstheme="minorEastAsia"/>
                <w:bCs/>
                <w:color w:val="auto"/>
                <w:kern w:val="0"/>
                <w:sz w:val="24"/>
                <w:szCs w:val="24"/>
                <w:highlight w:val="none"/>
                <w:lang w:val="en-US" w:eastAsia="zh-CN"/>
              </w:rPr>
              <w:t>得10</w:t>
            </w:r>
            <w:r>
              <w:rPr>
                <w:rFonts w:hint="eastAsia" w:asciiTheme="minorEastAsia" w:hAnsiTheme="minorEastAsia" w:eastAsiaTheme="minorEastAsia" w:cstheme="minorEastAsia"/>
                <w:bCs/>
                <w:color w:val="auto"/>
                <w:kern w:val="0"/>
                <w:sz w:val="24"/>
                <w:szCs w:val="24"/>
                <w:highlight w:val="none"/>
              </w:rPr>
              <w:t>分，</w:t>
            </w:r>
            <w:r>
              <w:rPr>
                <w:rFonts w:hint="eastAsia" w:asciiTheme="minorEastAsia" w:hAnsiTheme="minorEastAsia" w:eastAsiaTheme="minorEastAsia" w:cstheme="minorEastAsia"/>
                <w:b w:val="0"/>
                <w:bCs/>
                <w:color w:val="auto"/>
                <w:kern w:val="0"/>
                <w:sz w:val="24"/>
                <w:szCs w:val="24"/>
                <w:highlight w:val="none"/>
                <w:lang w:val="en-US" w:eastAsia="zh-CN"/>
              </w:rPr>
              <w:t>一般得2分。</w:t>
            </w:r>
            <w:r>
              <w:rPr>
                <w:rFonts w:hint="eastAsia" w:asciiTheme="minorEastAsia" w:hAnsiTheme="minorEastAsia" w:eastAsiaTheme="minorEastAsia" w:cstheme="minorEastAsia"/>
                <w:color w:val="auto"/>
                <w:sz w:val="24"/>
                <w:szCs w:val="24"/>
                <w:lang w:val="en-US" w:eastAsia="zh-CN"/>
              </w:rPr>
              <w:t>其他不得分。</w:t>
            </w:r>
          </w:p>
        </w:tc>
        <w:tc>
          <w:tcPr>
            <w:tcW w:w="1000" w:type="dxa"/>
            <w:noWrap w:val="0"/>
            <w:vAlign w:val="center"/>
          </w:tcPr>
          <w:p>
            <w:pPr>
              <w:pStyle w:val="6"/>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594" w:type="dxa"/>
            <w:noWrap w:val="0"/>
            <w:vAlign w:val="center"/>
          </w:tcPr>
          <w:p>
            <w:pPr>
              <w:numPr>
                <w:ilvl w:val="0"/>
                <w:numId w:val="1"/>
              </w:numPr>
              <w:spacing w:line="360" w:lineRule="auto"/>
              <w:ind w:left="425" w:leftChars="0" w:hanging="425" w:firstLineChars="0"/>
              <w:jc w:val="center"/>
              <w:rPr>
                <w:rFonts w:hint="eastAsia" w:ascii="宋体" w:hAnsi="宋体" w:eastAsia="宋体" w:cs="宋体"/>
                <w:b w:val="0"/>
                <w:bCs w:val="0"/>
                <w:color w:val="auto"/>
                <w:sz w:val="24"/>
                <w:szCs w:val="24"/>
                <w:highlight w:val="none"/>
              </w:rPr>
            </w:pPr>
          </w:p>
        </w:tc>
        <w:tc>
          <w:tcPr>
            <w:tcW w:w="1761" w:type="dxa"/>
            <w:noWrap w:val="0"/>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lang w:val="en-US"/>
              </w:rPr>
              <w:t>培训方案</w:t>
            </w:r>
          </w:p>
        </w:tc>
        <w:tc>
          <w:tcPr>
            <w:tcW w:w="6743" w:type="dxa"/>
            <w:noWrap w:val="0"/>
            <w:vAlign w:val="center"/>
          </w:tcPr>
          <w:p>
            <w:pPr>
              <w:autoSpaceDE/>
              <w:autoSpaceDN/>
              <w:spacing w:line="360" w:lineRule="auto"/>
              <w:jc w:val="both"/>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bCs/>
                <w:color w:val="auto"/>
                <w:sz w:val="24"/>
                <w:szCs w:val="24"/>
                <w:lang w:val="en-US"/>
              </w:rPr>
              <w:t>根据</w:t>
            </w:r>
            <w:r>
              <w:rPr>
                <w:rFonts w:hint="eastAsia" w:asciiTheme="minorEastAsia" w:hAnsiTheme="minorEastAsia" w:eastAsiaTheme="minorEastAsia" w:cstheme="minorEastAsia"/>
                <w:color w:val="auto"/>
                <w:kern w:val="2"/>
                <w:sz w:val="24"/>
                <w:szCs w:val="24"/>
                <w:highlight w:val="none"/>
                <w:lang w:val="en-US" w:eastAsia="zh-CN" w:bidi="ar-SA"/>
              </w:rPr>
              <w:t>投标人</w:t>
            </w:r>
            <w:r>
              <w:rPr>
                <w:rFonts w:hint="eastAsia" w:asciiTheme="minorEastAsia" w:hAnsiTheme="minorEastAsia" w:eastAsiaTheme="minorEastAsia" w:cstheme="minorEastAsia"/>
                <w:bCs/>
                <w:color w:val="auto"/>
                <w:sz w:val="24"/>
                <w:szCs w:val="24"/>
                <w:lang w:val="en-US"/>
              </w:rPr>
              <w:t>提供的</w:t>
            </w:r>
            <w:r>
              <w:rPr>
                <w:rFonts w:hint="eastAsia" w:asciiTheme="minorEastAsia" w:hAnsiTheme="minorEastAsia" w:eastAsiaTheme="minorEastAsia" w:cstheme="minorEastAsia"/>
                <w:bCs/>
                <w:color w:val="auto"/>
                <w:sz w:val="24"/>
                <w:szCs w:val="24"/>
                <w:lang w:val="en-US" w:eastAsia="zh-CN"/>
              </w:rPr>
              <w:t>全民防控</w:t>
            </w:r>
            <w:r>
              <w:rPr>
                <w:rFonts w:hint="eastAsia" w:asciiTheme="minorEastAsia" w:hAnsiTheme="minorEastAsia" w:eastAsiaTheme="minorEastAsia" w:cstheme="minorEastAsia"/>
                <w:bCs/>
                <w:color w:val="auto"/>
                <w:sz w:val="24"/>
                <w:szCs w:val="24"/>
                <w:lang w:val="en-US"/>
              </w:rPr>
              <w:t>培训计划和内容全面、详尽，经验丰富，针对性和操作性强，提供专用于红火蚁</w:t>
            </w:r>
            <w:r>
              <w:rPr>
                <w:rFonts w:hint="eastAsia" w:asciiTheme="minorEastAsia" w:hAnsiTheme="minorEastAsia" w:eastAsiaTheme="minorEastAsia" w:cstheme="minorEastAsia"/>
                <w:bCs/>
                <w:color w:val="auto"/>
                <w:sz w:val="24"/>
                <w:szCs w:val="24"/>
                <w:lang w:val="en-US" w:eastAsia="zh-CN"/>
              </w:rPr>
              <w:t>全民防控</w:t>
            </w:r>
            <w:r>
              <w:rPr>
                <w:rFonts w:hint="eastAsia" w:asciiTheme="minorEastAsia" w:hAnsiTheme="minorEastAsia" w:eastAsiaTheme="minorEastAsia" w:cstheme="minorEastAsia"/>
                <w:bCs/>
                <w:color w:val="auto"/>
                <w:sz w:val="24"/>
                <w:szCs w:val="24"/>
                <w:lang w:val="en-US"/>
              </w:rPr>
              <w:t>智能</w:t>
            </w:r>
            <w:r>
              <w:rPr>
                <w:rFonts w:hint="eastAsia" w:asciiTheme="minorEastAsia" w:hAnsiTheme="minorEastAsia" w:eastAsiaTheme="minorEastAsia" w:cstheme="minorEastAsia"/>
                <w:bCs/>
                <w:color w:val="auto"/>
                <w:sz w:val="24"/>
                <w:szCs w:val="24"/>
                <w:lang w:val="en-US" w:eastAsia="zh-CN"/>
              </w:rPr>
              <w:t>系统</w:t>
            </w:r>
            <w:r>
              <w:rPr>
                <w:rFonts w:hint="eastAsia" w:asciiTheme="minorEastAsia" w:hAnsiTheme="minorEastAsia" w:eastAsiaTheme="minorEastAsia" w:cstheme="minorEastAsia"/>
                <w:bCs/>
                <w:color w:val="auto"/>
                <w:sz w:val="24"/>
                <w:szCs w:val="24"/>
                <w:lang w:val="en-US"/>
              </w:rPr>
              <w:t>实操指引详细、清晰，实施及用药安全培训等</w:t>
            </w:r>
            <w:r>
              <w:rPr>
                <w:rFonts w:hint="eastAsia" w:asciiTheme="minorEastAsia" w:hAnsiTheme="minorEastAsia" w:eastAsiaTheme="minorEastAsia" w:cstheme="minorEastAsia"/>
                <w:color w:val="auto"/>
                <w:sz w:val="24"/>
                <w:szCs w:val="24"/>
              </w:rPr>
              <w:t>进行</w:t>
            </w:r>
            <w:r>
              <w:rPr>
                <w:rFonts w:hint="eastAsia" w:asciiTheme="minorEastAsia" w:hAnsiTheme="minorEastAsia" w:eastAsiaTheme="minorEastAsia" w:cstheme="minorEastAsia"/>
                <w:bCs/>
                <w:color w:val="auto"/>
                <w:sz w:val="24"/>
                <w:szCs w:val="24"/>
                <w:lang w:val="en-US"/>
              </w:rPr>
              <w:t>综合评价</w:t>
            </w:r>
            <w:r>
              <w:rPr>
                <w:rFonts w:hint="eastAsia" w:asciiTheme="minorEastAsia" w:hAnsiTheme="minorEastAsia" w:eastAsiaTheme="minorEastAsia" w:cstheme="minorEastAsia"/>
                <w:color w:val="auto"/>
                <w:sz w:val="24"/>
                <w:szCs w:val="24"/>
              </w:rPr>
              <w:t>。</w:t>
            </w:r>
          </w:p>
          <w:p>
            <w:pPr>
              <w:spacing w:line="360" w:lineRule="auto"/>
              <w:jc w:val="both"/>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color w:val="auto"/>
                <w:kern w:val="0"/>
                <w:sz w:val="24"/>
                <w:szCs w:val="24"/>
                <w:highlight w:val="none"/>
                <w:lang w:val="en-US" w:eastAsia="zh-CN"/>
              </w:rPr>
              <w:t>优得10分，良得5分，一般得2分。</w:t>
            </w:r>
            <w:r>
              <w:rPr>
                <w:rFonts w:hint="eastAsia" w:asciiTheme="minorEastAsia" w:hAnsiTheme="minorEastAsia" w:eastAsiaTheme="minorEastAsia" w:cstheme="minorEastAsia"/>
                <w:color w:val="auto"/>
                <w:sz w:val="24"/>
                <w:szCs w:val="24"/>
                <w:lang w:val="en-US" w:eastAsia="zh-CN"/>
              </w:rPr>
              <w:t>其他不得分。</w:t>
            </w:r>
          </w:p>
        </w:tc>
        <w:tc>
          <w:tcPr>
            <w:tcW w:w="1000" w:type="dxa"/>
            <w:noWrap w:val="0"/>
            <w:vAlign w:val="center"/>
          </w:tcPr>
          <w:p>
            <w:pPr>
              <w:pStyle w:val="6"/>
              <w:spacing w:line="360" w:lineRule="auto"/>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Cs/>
                <w:color w:val="auto"/>
                <w:sz w:val="24"/>
                <w:szCs w:val="24"/>
              </w:rPr>
              <w:t>10</w:t>
            </w:r>
            <w:r>
              <w:rPr>
                <w:rFonts w:hint="eastAsia" w:asciiTheme="minorEastAsia" w:hAnsiTheme="minorEastAsia" w:eastAsiaTheme="minorEastAsia" w:cstheme="minorEastAsia"/>
                <w:b w:val="0"/>
                <w:b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594" w:type="dxa"/>
            <w:noWrap w:val="0"/>
            <w:vAlign w:val="center"/>
          </w:tcPr>
          <w:p>
            <w:pPr>
              <w:numPr>
                <w:ilvl w:val="0"/>
                <w:numId w:val="1"/>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761" w:type="dxa"/>
            <w:noWrap w:val="0"/>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技术水平</w:t>
            </w:r>
          </w:p>
        </w:tc>
        <w:tc>
          <w:tcPr>
            <w:tcW w:w="6743" w:type="dxa"/>
            <w:noWrap w:val="0"/>
            <w:vAlign w:val="center"/>
          </w:tcPr>
          <w:p>
            <w:pPr>
              <w:spacing w:line="360" w:lineRule="auto"/>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投标人</w:t>
            </w:r>
            <w:r>
              <w:rPr>
                <w:rFonts w:hint="eastAsia" w:ascii="宋体" w:hAnsi="宋体" w:eastAsia="宋体" w:cs="宋体"/>
                <w:color w:val="auto"/>
                <w:sz w:val="24"/>
                <w:szCs w:val="24"/>
                <w:lang w:val="en-US" w:eastAsia="zh-CN"/>
              </w:rPr>
              <w:t>提供的</w:t>
            </w:r>
            <w:r>
              <w:rPr>
                <w:rFonts w:hint="eastAsia" w:ascii="宋体" w:hAnsi="宋体" w:eastAsia="宋体" w:cs="宋体"/>
                <w:bCs/>
                <w:color w:val="auto"/>
                <w:sz w:val="24"/>
                <w:szCs w:val="24"/>
                <w:lang w:val="en-US"/>
              </w:rPr>
              <w:t>红火蚁</w:t>
            </w:r>
            <w:r>
              <w:rPr>
                <w:rFonts w:hint="eastAsia" w:ascii="宋体" w:hAnsi="宋体" w:eastAsia="宋体" w:cs="宋体"/>
                <w:bCs/>
                <w:color w:val="auto"/>
                <w:sz w:val="24"/>
                <w:szCs w:val="24"/>
                <w:lang w:val="en-US" w:eastAsia="zh-CN"/>
              </w:rPr>
              <w:t>全民防控</w:t>
            </w:r>
            <w:r>
              <w:rPr>
                <w:rFonts w:hint="eastAsia" w:ascii="宋体" w:hAnsi="宋体" w:eastAsia="宋体" w:cs="宋体"/>
                <w:bCs/>
                <w:color w:val="auto"/>
                <w:sz w:val="24"/>
                <w:szCs w:val="24"/>
                <w:lang w:val="en-US"/>
              </w:rPr>
              <w:t>智能</w:t>
            </w:r>
            <w:r>
              <w:rPr>
                <w:rFonts w:hint="eastAsia" w:ascii="宋体" w:hAnsi="宋体" w:eastAsia="宋体" w:cs="宋体"/>
                <w:color w:val="auto"/>
                <w:sz w:val="24"/>
                <w:szCs w:val="24"/>
                <w:lang w:val="en-US" w:eastAsia="zh-CN"/>
              </w:rPr>
              <w:t>系统</w:t>
            </w:r>
            <w:r>
              <w:rPr>
                <w:rFonts w:hint="eastAsia" w:ascii="宋体" w:hAnsi="宋体" w:eastAsia="宋体" w:cs="宋体"/>
                <w:color w:val="auto"/>
                <w:sz w:val="24"/>
                <w:szCs w:val="24"/>
              </w:rPr>
              <w:t>在红火蚁领域的新产品新技术获得国家农业农村部荣誉证书得10分，</w:t>
            </w:r>
            <w:r>
              <w:rPr>
                <w:rFonts w:hint="eastAsia" w:ascii="宋体" w:hAnsi="宋体" w:cs="宋体"/>
                <w:color w:val="auto"/>
                <w:sz w:val="24"/>
                <w:szCs w:val="24"/>
                <w:lang w:val="en-US" w:eastAsia="zh-CN"/>
              </w:rPr>
              <w:t>广东</w:t>
            </w:r>
            <w:r>
              <w:rPr>
                <w:rFonts w:hint="eastAsia" w:ascii="宋体" w:hAnsi="宋体" w:eastAsia="宋体" w:cs="宋体"/>
                <w:color w:val="auto"/>
                <w:sz w:val="24"/>
                <w:szCs w:val="24"/>
              </w:rPr>
              <w:t>省5分，其他得1分。</w:t>
            </w:r>
          </w:p>
          <w:p>
            <w:pPr>
              <w:autoSpaceDE/>
              <w:autoSpaceDN/>
              <w:spacing w:line="360" w:lineRule="auto"/>
              <w:jc w:val="both"/>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24"/>
                <w:lang w:val="en-US" w:eastAsia="zh-CN"/>
              </w:rPr>
              <w:t>注</w:t>
            </w:r>
            <w:r>
              <w:rPr>
                <w:rFonts w:hint="eastAsia" w:ascii="宋体" w:hAnsi="宋体" w:eastAsia="宋体" w:cs="宋体"/>
                <w:color w:val="auto"/>
                <w:sz w:val="24"/>
                <w:szCs w:val="24"/>
              </w:rPr>
              <w:t>：提供证书复印件并加盖服务商单位公章，不提供不得分。</w:t>
            </w:r>
          </w:p>
        </w:tc>
        <w:tc>
          <w:tcPr>
            <w:tcW w:w="1000" w:type="dxa"/>
            <w:noWrap w:val="0"/>
            <w:vAlign w:val="center"/>
          </w:tcPr>
          <w:p>
            <w:pPr>
              <w:pStyle w:val="6"/>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b w:val="0"/>
                <w:b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594" w:type="dxa"/>
            <w:noWrap w:val="0"/>
            <w:vAlign w:val="center"/>
          </w:tcPr>
          <w:p>
            <w:pPr>
              <w:numPr>
                <w:ilvl w:val="0"/>
                <w:numId w:val="1"/>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761" w:type="dxa"/>
            <w:noWrap w:val="0"/>
            <w:vAlign w:val="center"/>
          </w:tcPr>
          <w:p>
            <w:pPr>
              <w:spacing w:line="360" w:lineRule="auto"/>
              <w:jc w:val="center"/>
              <w:rPr>
                <w:rFonts w:hint="default" w:hAnsi="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技术保障</w:t>
            </w:r>
          </w:p>
        </w:tc>
        <w:tc>
          <w:tcPr>
            <w:tcW w:w="6743" w:type="dxa"/>
            <w:noWrap w:val="0"/>
            <w:vAlign w:val="center"/>
          </w:tcPr>
          <w:p>
            <w:pPr>
              <w:widowControl/>
              <w:spacing w:line="360"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w:t>
            </w:r>
            <w:r>
              <w:rPr>
                <w:rFonts w:hint="eastAsia" w:ascii="宋体" w:hAnsi="宋体" w:eastAsia="宋体" w:cs="宋体"/>
                <w:color w:val="auto"/>
                <w:sz w:val="24"/>
                <w:szCs w:val="24"/>
                <w:lang w:val="en-US" w:eastAsia="zh-CN"/>
              </w:rPr>
              <w:t>提供的</w:t>
            </w:r>
            <w:r>
              <w:rPr>
                <w:rFonts w:hint="eastAsia" w:ascii="宋体" w:hAnsi="宋体" w:eastAsia="宋体" w:cs="宋体"/>
                <w:bCs/>
                <w:color w:val="auto"/>
                <w:sz w:val="24"/>
                <w:szCs w:val="24"/>
                <w:lang w:val="en-US"/>
              </w:rPr>
              <w:t>红火蚁</w:t>
            </w:r>
            <w:r>
              <w:rPr>
                <w:rFonts w:hint="eastAsia" w:ascii="宋体" w:hAnsi="宋体" w:eastAsia="宋体" w:cs="宋体"/>
                <w:bCs/>
                <w:color w:val="auto"/>
                <w:sz w:val="24"/>
                <w:szCs w:val="24"/>
                <w:lang w:val="en-US" w:eastAsia="zh-CN"/>
              </w:rPr>
              <w:t>全民防控</w:t>
            </w:r>
            <w:r>
              <w:rPr>
                <w:rFonts w:hint="eastAsia" w:ascii="宋体" w:hAnsi="宋体" w:eastAsia="宋体" w:cs="宋体"/>
                <w:bCs/>
                <w:color w:val="auto"/>
                <w:sz w:val="24"/>
                <w:szCs w:val="24"/>
                <w:lang w:val="en-US"/>
              </w:rPr>
              <w:t>智能</w:t>
            </w:r>
            <w:r>
              <w:rPr>
                <w:rFonts w:hint="eastAsia" w:ascii="宋体" w:hAnsi="宋体" w:eastAsia="宋体" w:cs="宋体"/>
                <w:color w:val="auto"/>
                <w:sz w:val="24"/>
                <w:szCs w:val="24"/>
                <w:lang w:val="en-US" w:eastAsia="zh-CN"/>
              </w:rPr>
              <w:t>系统运用相关功能软件</w:t>
            </w:r>
            <w:r>
              <w:rPr>
                <w:rFonts w:hint="eastAsia" w:ascii="宋体" w:hAnsi="宋体" w:eastAsia="宋体" w:cs="宋体"/>
                <w:color w:val="auto"/>
                <w:kern w:val="0"/>
                <w:sz w:val="24"/>
                <w:szCs w:val="24"/>
                <w:lang w:val="en-US" w:eastAsia="zh-CN"/>
              </w:rPr>
              <w:t>具有计算机软件著作权登记证书，每提供一个得2分，此项最高得10分</w:t>
            </w:r>
            <w:r>
              <w:rPr>
                <w:rFonts w:hint="eastAsia" w:ascii="宋体" w:hAnsi="宋体" w:eastAsia="宋体" w:cs="宋体"/>
                <w:color w:val="auto"/>
                <w:kern w:val="2"/>
                <w:sz w:val="24"/>
                <w:szCs w:val="24"/>
                <w:highlight w:val="none"/>
                <w:lang w:val="en-US" w:eastAsia="zh-CN" w:bidi="ar-SA"/>
              </w:rPr>
              <w:t>。</w:t>
            </w:r>
          </w:p>
          <w:p>
            <w:pPr>
              <w:autoSpaceDE w:val="0"/>
              <w:autoSpaceDN w:val="0"/>
              <w:spacing w:line="360" w:lineRule="auto"/>
              <w:jc w:val="both"/>
              <w:rPr>
                <w:rFonts w:hint="eastAsia" w:hAnsi="宋体" w:cs="宋体"/>
                <w:color w:val="auto"/>
                <w:sz w:val="24"/>
                <w:szCs w:val="24"/>
                <w:lang w:val="en-US" w:eastAsia="zh-CN"/>
              </w:rPr>
            </w:pPr>
            <w:r>
              <w:rPr>
                <w:rFonts w:hint="eastAsia" w:ascii="宋体" w:hAnsi="宋体" w:eastAsia="宋体" w:cs="宋体"/>
                <w:color w:val="auto"/>
                <w:kern w:val="2"/>
                <w:sz w:val="24"/>
                <w:szCs w:val="24"/>
                <w:highlight w:val="none"/>
                <w:lang w:val="en-US" w:eastAsia="zh-CN" w:bidi="ar-SA"/>
              </w:rPr>
              <w:t>注：须</w:t>
            </w:r>
            <w:r>
              <w:rPr>
                <w:rFonts w:hint="eastAsia" w:ascii="宋体" w:hAnsi="宋体" w:cs="宋体"/>
                <w:color w:val="auto"/>
                <w:kern w:val="2"/>
                <w:sz w:val="24"/>
                <w:szCs w:val="24"/>
                <w:highlight w:val="none"/>
                <w:lang w:val="en-US" w:eastAsia="zh-CN" w:bidi="ar-SA"/>
              </w:rPr>
              <w:t>提供相关软件开发著作权登记证书，如非开发商则提供使用授权书，</w:t>
            </w:r>
            <w:r>
              <w:rPr>
                <w:rFonts w:hint="eastAsia" w:ascii="宋体" w:hAnsi="宋体" w:eastAsia="宋体" w:cs="宋体"/>
                <w:color w:val="auto"/>
                <w:kern w:val="2"/>
                <w:sz w:val="24"/>
                <w:szCs w:val="24"/>
                <w:highlight w:val="none"/>
                <w:lang w:val="en-US" w:eastAsia="zh-CN" w:bidi="ar-SA"/>
              </w:rPr>
              <w:t>且加盖投标人公章，不提供不得分。</w:t>
            </w:r>
          </w:p>
        </w:tc>
        <w:tc>
          <w:tcPr>
            <w:tcW w:w="1000" w:type="dxa"/>
            <w:noWrap w:val="0"/>
            <w:vAlign w:val="center"/>
          </w:tcPr>
          <w:p>
            <w:pPr>
              <w:pStyle w:val="6"/>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b w:val="0"/>
                <w:b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594" w:type="dxa"/>
            <w:noWrap w:val="0"/>
            <w:vAlign w:val="center"/>
          </w:tcPr>
          <w:p>
            <w:pPr>
              <w:numPr>
                <w:ilvl w:val="0"/>
                <w:numId w:val="1"/>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761" w:type="dxa"/>
            <w:noWrap w:val="0"/>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相关资质</w:t>
            </w:r>
          </w:p>
        </w:tc>
        <w:tc>
          <w:tcPr>
            <w:tcW w:w="6743" w:type="dxa"/>
            <w:noWrap w:val="0"/>
            <w:vAlign w:val="center"/>
          </w:tcPr>
          <w:p>
            <w:pPr>
              <w:autoSpaceDE w:val="0"/>
              <w:autoSpaceDN w:val="0"/>
              <w:spacing w:line="360" w:lineRule="auto"/>
              <w:jc w:val="both"/>
              <w:rPr>
                <w:rFonts w:hint="eastAsia" w:hAnsi="宋体" w:cs="宋体"/>
                <w:color w:val="auto"/>
                <w:sz w:val="24"/>
                <w:szCs w:val="24"/>
                <w:lang w:val="en-US" w:eastAsia="zh-CN"/>
              </w:rPr>
            </w:pPr>
            <w:r>
              <w:rPr>
                <w:rFonts w:hint="eastAsia" w:hAnsi="宋体" w:cs="宋体"/>
                <w:color w:val="auto"/>
                <w:sz w:val="24"/>
                <w:szCs w:val="24"/>
                <w:lang w:val="en-US" w:eastAsia="zh-CN"/>
              </w:rPr>
              <w:t>投标人获得红火蚁防控相关领域或农作物病虫害监测相关领域的知识产权证书的，每提供一项得2分，最高可得10分。</w:t>
            </w:r>
          </w:p>
          <w:p>
            <w:pPr>
              <w:autoSpaceDE w:val="0"/>
              <w:autoSpaceDN w:val="0"/>
              <w:spacing w:line="360" w:lineRule="auto"/>
              <w:jc w:val="both"/>
              <w:rPr>
                <w:rFonts w:hint="default" w:ascii="宋体" w:hAnsi="宋体" w:eastAsia="宋体" w:cs="宋体"/>
                <w:color w:val="auto"/>
                <w:kern w:val="2"/>
                <w:sz w:val="24"/>
                <w:szCs w:val="24"/>
                <w:highlight w:val="none"/>
                <w:lang w:val="en-US" w:eastAsia="zh-CN" w:bidi="ar-SA"/>
              </w:rPr>
            </w:pPr>
            <w:r>
              <w:rPr>
                <w:rFonts w:hint="eastAsia" w:hAnsi="宋体" w:cs="宋体"/>
                <w:color w:val="auto"/>
                <w:sz w:val="24"/>
                <w:szCs w:val="24"/>
                <w:lang w:val="en-US" w:eastAsia="zh-CN"/>
              </w:rPr>
              <w:t>注：提供相关证明材料复印件并加公章，不提供不得分。</w:t>
            </w:r>
          </w:p>
        </w:tc>
        <w:tc>
          <w:tcPr>
            <w:tcW w:w="1000" w:type="dxa"/>
            <w:noWrap w:val="0"/>
            <w:vAlign w:val="center"/>
          </w:tcPr>
          <w:p>
            <w:pPr>
              <w:pStyle w:val="6"/>
              <w:spacing w:line="360" w:lineRule="auto"/>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4" w:type="dxa"/>
            <w:noWrap w:val="0"/>
            <w:vAlign w:val="center"/>
          </w:tcPr>
          <w:p>
            <w:pPr>
              <w:numPr>
                <w:ilvl w:val="0"/>
                <w:numId w:val="1"/>
              </w:numPr>
              <w:spacing w:line="360" w:lineRule="auto"/>
              <w:ind w:left="425" w:leftChars="0" w:hanging="425" w:firstLineChars="0"/>
              <w:jc w:val="center"/>
              <w:rPr>
                <w:rFonts w:hint="eastAsia" w:ascii="宋体" w:hAnsi="宋体" w:eastAsia="宋体" w:cs="宋体"/>
                <w:color w:val="auto"/>
                <w:sz w:val="24"/>
                <w:szCs w:val="24"/>
                <w:highlight w:val="none"/>
                <w:lang w:val="en-US" w:eastAsia="zh-CN"/>
              </w:rPr>
            </w:pPr>
          </w:p>
        </w:tc>
        <w:tc>
          <w:tcPr>
            <w:tcW w:w="1761" w:type="dxa"/>
            <w:noWrap w:val="0"/>
            <w:vAlign w:val="center"/>
          </w:tcPr>
          <w:p>
            <w:pPr>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项目服务人员情况</w:t>
            </w:r>
          </w:p>
        </w:tc>
        <w:tc>
          <w:tcPr>
            <w:tcW w:w="6743"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color w:val="auto"/>
                <w:kern w:val="0"/>
                <w:sz w:val="24"/>
                <w:szCs w:val="24"/>
                <w:highlight w:val="none"/>
                <w:lang w:val="en-US" w:eastAsia="zh-CN"/>
              </w:rPr>
              <w:t>根据投标人针对本项目拟派投入</w:t>
            </w:r>
            <w:r>
              <w:rPr>
                <w:rFonts w:hint="eastAsia" w:asciiTheme="minorEastAsia" w:hAnsiTheme="minorEastAsia" w:eastAsiaTheme="minorEastAsia" w:cstheme="minorEastAsia"/>
                <w:color w:val="auto"/>
                <w:sz w:val="24"/>
                <w:szCs w:val="24"/>
              </w:rPr>
              <w:t>的技术人员同时具有</w:t>
            </w:r>
            <w:r>
              <w:rPr>
                <w:rFonts w:hint="eastAsia" w:asciiTheme="minorEastAsia" w:hAnsiTheme="minorEastAsia" w:eastAsiaTheme="minorEastAsia" w:cstheme="minorEastAsia"/>
                <w:color w:val="auto"/>
                <w:sz w:val="24"/>
                <w:szCs w:val="24"/>
                <w:highlight w:val="none"/>
                <w:lang w:val="en-US" w:eastAsia="zh-CN"/>
              </w:rPr>
              <w:t>中级及以上</w:t>
            </w:r>
            <w:r>
              <w:rPr>
                <w:rFonts w:hint="eastAsia" w:asciiTheme="minorEastAsia" w:hAnsiTheme="minorEastAsia" w:eastAsiaTheme="minorEastAsia" w:cstheme="minorEastAsia"/>
                <w:color w:val="auto"/>
                <w:sz w:val="24"/>
                <w:szCs w:val="24"/>
                <w:highlight w:val="none"/>
              </w:rPr>
              <w:t>农艺师职称及兼职检疫员证书，</w:t>
            </w:r>
            <w:r>
              <w:rPr>
                <w:rFonts w:hint="eastAsia" w:asciiTheme="minorEastAsia" w:hAnsiTheme="minorEastAsia" w:eastAsiaTheme="minorEastAsia" w:cstheme="minorEastAsia"/>
                <w:b w:val="0"/>
                <w:bCs/>
                <w:color w:val="auto"/>
                <w:kern w:val="0"/>
                <w:sz w:val="24"/>
                <w:szCs w:val="24"/>
                <w:highlight w:val="none"/>
                <w:lang w:val="en-US" w:eastAsia="zh-CN"/>
              </w:rPr>
              <w:t>每提供一人且两证书齐全</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分；最高得</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注：须提供人员相关证书及近三个月任意一个月投标人为其购买社保的证明文件复印件，若投标人拟投入的人员是外聘人员的需提供人员证书及外聘合作协议并加盖公章，未提供不得分。</w:t>
            </w:r>
          </w:p>
        </w:tc>
        <w:tc>
          <w:tcPr>
            <w:tcW w:w="1000" w:type="dxa"/>
            <w:noWrap w:val="0"/>
            <w:vAlign w:val="center"/>
          </w:tcPr>
          <w:p>
            <w:pPr>
              <w:bidi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hAnsi="宋体" w:cs="宋体"/>
                <w:color w:val="auto"/>
                <w:sz w:val="24"/>
                <w:szCs w:val="24"/>
                <w:lang w:val="en-US" w:eastAsia="zh-CN"/>
              </w:rPr>
              <w:t>0</w:t>
            </w:r>
            <w:r>
              <w:rPr>
                <w:rFonts w:hint="eastAsia" w:ascii="宋体" w:hAnsi="宋体" w:eastAsia="宋体" w:cs="宋体"/>
                <w:color w:val="auto"/>
                <w:sz w:val="24"/>
                <w:szCs w:val="2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594" w:type="dxa"/>
            <w:noWrap w:val="0"/>
            <w:vAlign w:val="center"/>
          </w:tcPr>
          <w:p>
            <w:pPr>
              <w:numPr>
                <w:ilvl w:val="0"/>
                <w:numId w:val="1"/>
              </w:numPr>
              <w:spacing w:line="360" w:lineRule="auto"/>
              <w:ind w:left="425" w:leftChars="0" w:hanging="425" w:firstLineChars="0"/>
              <w:jc w:val="center"/>
              <w:rPr>
                <w:rFonts w:hint="eastAsia" w:ascii="宋体" w:hAnsi="宋体" w:eastAsia="宋体" w:cs="宋体"/>
                <w:color w:val="auto"/>
                <w:sz w:val="24"/>
                <w:szCs w:val="24"/>
                <w:highlight w:val="none"/>
                <w:lang w:val="en-US" w:eastAsia="zh-CN"/>
              </w:rPr>
            </w:pPr>
          </w:p>
        </w:tc>
        <w:tc>
          <w:tcPr>
            <w:tcW w:w="176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同类项目业绩</w:t>
            </w:r>
          </w:p>
        </w:tc>
        <w:tc>
          <w:tcPr>
            <w:tcW w:w="6743" w:type="dxa"/>
            <w:noWrap w:val="0"/>
            <w:vAlign w:val="center"/>
          </w:tcPr>
          <w:p>
            <w:pPr>
              <w:spacing w:line="36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评审</w:t>
            </w:r>
            <w:r>
              <w:rPr>
                <w:rFonts w:hint="eastAsia" w:ascii="宋体" w:hAnsi="宋体" w:eastAsia="宋体" w:cs="宋体"/>
                <w:color w:val="auto"/>
                <w:kern w:val="2"/>
                <w:sz w:val="24"/>
                <w:szCs w:val="24"/>
                <w:highlight w:val="none"/>
                <w:lang w:val="en-US" w:eastAsia="zh-CN" w:bidi="ar-SA"/>
              </w:rPr>
              <w:t>投标人</w:t>
            </w:r>
            <w:r>
              <w:rPr>
                <w:rFonts w:hint="eastAsia" w:ascii="宋体" w:hAnsi="宋体" w:eastAsia="宋体" w:cs="宋体"/>
                <w:bCs/>
                <w:color w:val="auto"/>
                <w:sz w:val="24"/>
                <w:szCs w:val="24"/>
                <w:lang w:val="en-US" w:eastAsia="zh-CN"/>
              </w:rPr>
              <w:t>近两年（2022年1月1日至本项目开标之日，以合同签订日期为准）的类似业绩情况，</w:t>
            </w:r>
            <w:r>
              <w:rPr>
                <w:rFonts w:hint="eastAsia" w:ascii="宋体" w:hAnsi="宋体" w:eastAsia="宋体" w:cs="宋体"/>
                <w:color w:val="auto"/>
                <w:kern w:val="2"/>
                <w:sz w:val="24"/>
                <w:szCs w:val="24"/>
                <w:highlight w:val="none"/>
                <w:lang w:val="en-US" w:eastAsia="zh-CN" w:bidi="ar-SA"/>
              </w:rPr>
              <w:t>投标人</w:t>
            </w:r>
            <w:r>
              <w:rPr>
                <w:rFonts w:hint="eastAsia" w:ascii="宋体" w:hAnsi="宋体" w:eastAsia="宋体" w:cs="宋体"/>
                <w:bCs/>
                <w:color w:val="auto"/>
                <w:sz w:val="24"/>
                <w:szCs w:val="24"/>
                <w:lang w:val="en-US" w:eastAsia="zh-CN"/>
              </w:rPr>
              <w:t>提供的项目业绩服务内容需红火蚁防控方面内容。每提供一份得2分，最高得10分，未提供或提供材料无效不得分。</w:t>
            </w:r>
          </w:p>
          <w:p>
            <w:pPr>
              <w:spacing w:line="360" w:lineRule="auto"/>
              <w:jc w:val="both"/>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eastAsia="zh-CN"/>
              </w:rPr>
              <w:t>注：提供中标通知书和合同复印件加盖</w:t>
            </w:r>
            <w:r>
              <w:rPr>
                <w:rFonts w:hint="eastAsia" w:hAnsi="宋体" w:cs="宋体"/>
                <w:bCs/>
                <w:color w:val="auto"/>
                <w:sz w:val="24"/>
                <w:szCs w:val="24"/>
                <w:lang w:val="en-US" w:eastAsia="zh-CN"/>
              </w:rPr>
              <w:t>服务方</w:t>
            </w:r>
            <w:r>
              <w:rPr>
                <w:rFonts w:hint="eastAsia" w:ascii="宋体" w:hAnsi="宋体" w:eastAsia="宋体" w:cs="宋体"/>
                <w:bCs/>
                <w:color w:val="auto"/>
                <w:sz w:val="24"/>
                <w:szCs w:val="24"/>
                <w:lang w:val="en-US" w:eastAsia="zh-CN"/>
              </w:rPr>
              <w:t>公章作为评分依据，否则不得分。</w:t>
            </w:r>
          </w:p>
        </w:tc>
        <w:tc>
          <w:tcPr>
            <w:tcW w:w="1000" w:type="dxa"/>
            <w:noWrap w:val="0"/>
            <w:vAlign w:val="center"/>
          </w:tcPr>
          <w:p>
            <w:pPr>
              <w:pStyle w:val="4"/>
              <w:tabs>
                <w:tab w:val="left" w:pos="720"/>
              </w:tabs>
              <w:spacing w:line="360" w:lineRule="auto"/>
              <w:ind w:left="624" w:leftChars="0" w:hanging="624"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594" w:type="dxa"/>
            <w:noWrap w:val="0"/>
            <w:vAlign w:val="center"/>
          </w:tcPr>
          <w:p>
            <w:pPr>
              <w:numPr>
                <w:ilvl w:val="0"/>
                <w:numId w:val="1"/>
              </w:numPr>
              <w:spacing w:line="360" w:lineRule="auto"/>
              <w:ind w:left="425" w:leftChars="0" w:hanging="425" w:firstLineChars="0"/>
              <w:jc w:val="center"/>
              <w:rPr>
                <w:rFonts w:hint="eastAsia" w:ascii="宋体" w:hAnsi="宋体" w:eastAsia="宋体" w:cs="宋体"/>
                <w:color w:val="auto"/>
                <w:sz w:val="24"/>
                <w:szCs w:val="24"/>
                <w:highlight w:val="none"/>
                <w:lang w:val="en-US" w:eastAsia="zh-CN"/>
              </w:rPr>
            </w:pPr>
          </w:p>
        </w:tc>
        <w:tc>
          <w:tcPr>
            <w:tcW w:w="1761" w:type="dxa"/>
            <w:noWrap w:val="0"/>
            <w:vAlign w:val="center"/>
          </w:tcPr>
          <w:p>
            <w:pPr>
              <w:pStyle w:val="4"/>
              <w:tabs>
                <w:tab w:val="left" w:pos="720"/>
              </w:tabs>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w:t>
            </w:r>
            <w:r>
              <w:rPr>
                <w:rFonts w:hint="eastAsia" w:ascii="宋体" w:hAnsi="宋体" w:eastAsia="宋体" w:cs="宋体"/>
                <w:color w:val="auto"/>
                <w:sz w:val="24"/>
                <w:szCs w:val="24"/>
                <w:highlight w:val="none"/>
                <w:lang w:val="en-US" w:eastAsia="zh-CN"/>
              </w:rPr>
              <w:t>认证情况</w:t>
            </w:r>
          </w:p>
        </w:tc>
        <w:tc>
          <w:tcPr>
            <w:tcW w:w="6743" w:type="dxa"/>
            <w:noWrap w:val="0"/>
            <w:vAlign w:val="center"/>
          </w:tcPr>
          <w:p>
            <w:pPr>
              <w:spacing w:line="36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r>
              <w:rPr>
                <w:rFonts w:hint="eastAsia" w:ascii="宋体" w:hAnsi="宋体" w:cs="宋体"/>
                <w:bCs/>
                <w:color w:val="auto"/>
                <w:sz w:val="24"/>
                <w:szCs w:val="24"/>
                <w:lang w:val="en-US" w:eastAsia="zh-CN"/>
              </w:rPr>
              <w:t>投标人</w:t>
            </w:r>
            <w:r>
              <w:rPr>
                <w:rFonts w:hint="eastAsia" w:ascii="宋体" w:hAnsi="宋体" w:eastAsia="宋体" w:cs="宋体"/>
                <w:bCs/>
                <w:color w:val="auto"/>
                <w:sz w:val="24"/>
                <w:szCs w:val="24"/>
                <w:lang w:val="en-US" w:eastAsia="zh-CN"/>
              </w:rPr>
              <w:t>获得质量管理体系认证证书且认证范围包含红火蚁防治或与病虫害防治相关内容的得2</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val="en-US" w:eastAsia="zh-CN"/>
              </w:rPr>
              <w:t>分。</w:t>
            </w:r>
          </w:p>
          <w:p>
            <w:pPr>
              <w:spacing w:line="36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投标人</w:t>
            </w:r>
            <w:r>
              <w:rPr>
                <w:rFonts w:hint="eastAsia" w:ascii="宋体" w:hAnsi="宋体" w:eastAsia="宋体" w:cs="宋体"/>
                <w:bCs/>
                <w:color w:val="auto"/>
                <w:sz w:val="24"/>
                <w:szCs w:val="24"/>
                <w:lang w:val="en-US" w:eastAsia="zh-CN"/>
              </w:rPr>
              <w:t>获得环境管理体系认证证书且认证范围包含红火蚁防治或与病虫害防治相关内容的得2</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val="en-US" w:eastAsia="zh-CN"/>
              </w:rPr>
              <w:t>分。</w:t>
            </w:r>
          </w:p>
          <w:p>
            <w:pPr>
              <w:spacing w:line="360" w:lineRule="auto"/>
              <w:jc w:val="both"/>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注：提供相关认证证书复印件、全国认证中心官网查询截图且查询结果为“有效”并加盖公章，不按要求提供不得分。</w:t>
            </w:r>
          </w:p>
        </w:tc>
        <w:tc>
          <w:tcPr>
            <w:tcW w:w="1000" w:type="dxa"/>
            <w:noWrap w:val="0"/>
            <w:vAlign w:val="center"/>
          </w:tcPr>
          <w:p>
            <w:pPr>
              <w:pStyle w:val="4"/>
              <w:tabs>
                <w:tab w:val="left" w:pos="720"/>
              </w:tabs>
              <w:spacing w:line="360" w:lineRule="auto"/>
              <w:ind w:left="624" w:leftChars="0" w:hanging="624" w:firstLineChar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jc w:val="center"/>
        </w:trPr>
        <w:tc>
          <w:tcPr>
            <w:tcW w:w="594" w:type="dxa"/>
            <w:noWrap w:val="0"/>
            <w:vAlign w:val="center"/>
          </w:tcPr>
          <w:p>
            <w:pPr>
              <w:numPr>
                <w:ilvl w:val="0"/>
                <w:numId w:val="1"/>
              </w:numPr>
              <w:spacing w:line="360" w:lineRule="auto"/>
              <w:ind w:left="425" w:leftChars="0" w:hanging="425" w:firstLineChars="0"/>
              <w:jc w:val="center"/>
              <w:rPr>
                <w:rFonts w:hint="eastAsia" w:ascii="宋体" w:hAnsi="宋体" w:eastAsia="宋体" w:cs="宋体"/>
                <w:color w:val="auto"/>
                <w:sz w:val="24"/>
                <w:szCs w:val="24"/>
                <w:highlight w:val="none"/>
                <w:lang w:val="en-US" w:eastAsia="zh-CN"/>
              </w:rPr>
            </w:pPr>
          </w:p>
        </w:tc>
        <w:tc>
          <w:tcPr>
            <w:tcW w:w="1761"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售后服务方案</w:t>
            </w:r>
          </w:p>
          <w:p>
            <w:pPr>
              <w:pStyle w:val="4"/>
              <w:tabs>
                <w:tab w:val="left" w:pos="720"/>
              </w:tabs>
              <w:spacing w:line="360" w:lineRule="auto"/>
              <w:jc w:val="both"/>
              <w:rPr>
                <w:rFonts w:hint="eastAsia" w:ascii="宋体" w:hAnsi="宋体" w:eastAsia="宋体" w:cs="宋体"/>
                <w:color w:val="auto"/>
                <w:sz w:val="24"/>
                <w:szCs w:val="24"/>
                <w:highlight w:val="none"/>
              </w:rPr>
            </w:pPr>
          </w:p>
        </w:tc>
        <w:tc>
          <w:tcPr>
            <w:tcW w:w="6743" w:type="dxa"/>
            <w:noWrap w:val="0"/>
            <w:vAlign w:val="center"/>
          </w:tcPr>
          <w:p>
            <w:pPr>
              <w:spacing w:line="360" w:lineRule="auto"/>
              <w:jc w:val="both"/>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rPr>
              <w:t>根据</w:t>
            </w:r>
            <w:r>
              <w:rPr>
                <w:rFonts w:hint="eastAsia" w:ascii="宋体" w:hAnsi="宋体" w:cs="宋体"/>
                <w:bCs/>
                <w:color w:val="auto"/>
                <w:sz w:val="24"/>
                <w:szCs w:val="24"/>
                <w:lang w:val="en-US" w:eastAsia="zh-CN"/>
              </w:rPr>
              <w:t>投标人</w:t>
            </w:r>
            <w:r>
              <w:rPr>
                <w:rFonts w:hint="eastAsia" w:ascii="宋体" w:hAnsi="宋体" w:eastAsia="宋体" w:cs="宋体"/>
                <w:bCs/>
                <w:color w:val="auto"/>
                <w:sz w:val="24"/>
                <w:szCs w:val="24"/>
                <w:lang w:val="en-US"/>
              </w:rPr>
              <w:t>提供的售后服务方案包括：售后服务计划、</w:t>
            </w:r>
            <w:r>
              <w:rPr>
                <w:rFonts w:hint="eastAsia" w:ascii="宋体" w:hAnsi="宋体" w:cs="宋体"/>
                <w:bCs/>
                <w:color w:val="auto"/>
                <w:sz w:val="24"/>
                <w:szCs w:val="24"/>
                <w:lang w:val="en-US" w:eastAsia="zh-CN"/>
              </w:rPr>
              <w:t>服务响应时间、</w:t>
            </w:r>
            <w:r>
              <w:rPr>
                <w:rFonts w:hint="eastAsia" w:ascii="宋体" w:hAnsi="宋体" w:eastAsia="宋体" w:cs="宋体"/>
                <w:bCs/>
                <w:color w:val="auto"/>
                <w:sz w:val="24"/>
                <w:szCs w:val="24"/>
                <w:lang w:val="en-US"/>
              </w:rPr>
              <w:t>服务响应方式完善、问题整改的速度进行评审。</w:t>
            </w:r>
          </w:p>
          <w:p>
            <w:pPr>
              <w:spacing w:line="360" w:lineRule="auto"/>
              <w:jc w:val="both"/>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rPr>
              <w:t>（1）售后服务体系完善、方案完整、可行性高，完全满足服务要求的，得</w:t>
            </w: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lang w:val="en-US"/>
              </w:rPr>
              <w:t>分；</w:t>
            </w:r>
          </w:p>
          <w:p>
            <w:pPr>
              <w:spacing w:line="360" w:lineRule="auto"/>
              <w:jc w:val="both"/>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rPr>
              <w:t>（2）售后服务体系比较完善、方案比较完整、可行性较高，较能满足服务要求的，得</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lang w:val="en-US"/>
              </w:rPr>
              <w:t>分；</w:t>
            </w:r>
          </w:p>
          <w:p>
            <w:pPr>
              <w:spacing w:line="360" w:lineRule="auto"/>
              <w:jc w:val="both"/>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rPr>
              <w:t>（3）售后服务体系基本完善、方案基本完整、可行性一般，不太能满足服务要求的，得</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rPr>
              <w:t>分；</w:t>
            </w:r>
          </w:p>
          <w:p>
            <w:pPr>
              <w:spacing w:line="360" w:lineRule="auto"/>
              <w:jc w:val="both"/>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rPr>
              <w:t>（4）</w:t>
            </w:r>
            <w:r>
              <w:rPr>
                <w:rFonts w:hint="eastAsia" w:ascii="宋体" w:hAnsi="宋体" w:cs="宋体"/>
                <w:bCs/>
                <w:color w:val="auto"/>
                <w:sz w:val="24"/>
                <w:szCs w:val="24"/>
                <w:lang w:val="en-US" w:eastAsia="zh-CN"/>
              </w:rPr>
              <w:t>其他或不</w:t>
            </w:r>
            <w:r>
              <w:rPr>
                <w:rFonts w:hint="eastAsia" w:ascii="宋体" w:hAnsi="宋体" w:eastAsia="宋体" w:cs="宋体"/>
                <w:bCs/>
                <w:color w:val="auto"/>
                <w:sz w:val="24"/>
                <w:szCs w:val="24"/>
                <w:lang w:val="en-US"/>
              </w:rPr>
              <w:t>提供相关内容不得分。</w:t>
            </w:r>
          </w:p>
        </w:tc>
        <w:tc>
          <w:tcPr>
            <w:tcW w:w="1000" w:type="dxa"/>
            <w:noWrap w:val="0"/>
            <w:vAlign w:val="center"/>
          </w:tcPr>
          <w:p>
            <w:pPr>
              <w:pStyle w:val="4"/>
              <w:tabs>
                <w:tab w:val="left" w:pos="720"/>
              </w:tabs>
              <w:spacing w:line="360" w:lineRule="auto"/>
              <w:ind w:left="624" w:leftChars="0" w:hanging="624" w:firstLineChars="0"/>
              <w:jc w:val="center"/>
              <w:rPr>
                <w:rFonts w:hint="eastAsia" w:ascii="宋体" w:hAnsi="宋体" w:eastAsia="宋体" w:cs="宋体"/>
                <w:color w:val="auto"/>
                <w:sz w:val="24"/>
                <w:szCs w:val="24"/>
                <w:lang w:val="en-US"/>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355" w:type="dxa"/>
            <w:gridSpan w:val="2"/>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6743" w:type="dxa"/>
            <w:noWrap w:val="0"/>
            <w:vAlign w:val="center"/>
          </w:tcPr>
          <w:p>
            <w:pPr>
              <w:spacing w:line="360" w:lineRule="auto"/>
              <w:rPr>
                <w:rFonts w:hint="eastAsia" w:ascii="宋体" w:hAnsi="宋体" w:eastAsia="宋体" w:cs="宋体"/>
                <w:color w:val="auto"/>
                <w:sz w:val="24"/>
                <w:szCs w:val="24"/>
                <w:highlight w:val="none"/>
              </w:rPr>
            </w:pPr>
          </w:p>
        </w:tc>
        <w:tc>
          <w:tcPr>
            <w:tcW w:w="1000"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6CDE4"/>
    <w:multiLevelType w:val="singleLevel"/>
    <w:tmpl w:val="93B6CDE4"/>
    <w:lvl w:ilvl="0" w:tentative="0">
      <w:start w:val="1"/>
      <w:numFmt w:val="decimal"/>
      <w:lvlText w:val=" %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YjJmMzg4OTAzMGY5NTMwMjgyZGQ5ZTg1MmExZGUifQ=="/>
  </w:docVars>
  <w:rsids>
    <w:rsidRoot w:val="22613FCA"/>
    <w:rsid w:val="1BD94E6B"/>
    <w:rsid w:val="22613FCA"/>
    <w:rsid w:val="26583344"/>
    <w:rsid w:val="32E278BC"/>
    <w:rsid w:val="7D4E1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styleId="3">
    <w:name w:val="index 8"/>
    <w:basedOn w:val="1"/>
    <w:next w:val="1"/>
    <w:semiHidden/>
    <w:qFormat/>
    <w:uiPriority w:val="99"/>
    <w:pPr>
      <w:widowControl w:val="0"/>
      <w:spacing w:line="240" w:lineRule="auto"/>
      <w:ind w:left="2940"/>
      <w:jc w:val="both"/>
    </w:pPr>
    <w:rPr>
      <w:rFonts w:ascii="方正仿宋_GBK" w:hAnsi="Calibri" w:eastAsia="方正仿宋_GBK" w:cs="方正仿宋_GBK"/>
      <w:kern w:val="2"/>
      <w:sz w:val="32"/>
      <w:szCs w:val="32"/>
      <w:lang w:val="en-US"/>
    </w:rPr>
  </w:style>
  <w:style w:type="paragraph" w:styleId="4">
    <w:name w:val="Normal Indent"/>
    <w:basedOn w:val="1"/>
    <w:next w:val="3"/>
    <w:qFormat/>
    <w:uiPriority w:val="0"/>
    <w:pPr>
      <w:ind w:firstLine="420" w:firstLineChars="200"/>
    </w:pPr>
    <w:rPr>
      <w:szCs w:val="24"/>
    </w:rPr>
  </w:style>
  <w:style w:type="paragraph" w:styleId="5">
    <w:name w:val="Body Text"/>
    <w:basedOn w:val="1"/>
    <w:next w:val="1"/>
    <w:qFormat/>
    <w:uiPriority w:val="0"/>
    <w:pPr>
      <w:spacing w:afterLines="0" w:afterAutospacing="0" w:line="360" w:lineRule="auto"/>
    </w:pPr>
  </w:style>
  <w:style w:type="paragraph" w:styleId="6">
    <w:name w:val="Plain Text"/>
    <w:basedOn w:val="1"/>
    <w:qFormat/>
    <w:uiPriority w:val="99"/>
    <w:pPr>
      <w:widowControl w:val="0"/>
      <w:jc w:val="both"/>
    </w:pPr>
    <w:rPr>
      <w:rFonts w:hAnsi="Courier New"/>
      <w:kern w:val="2"/>
      <w:sz w:val="21"/>
      <w:szCs w:val="21"/>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区农业农村局</Company>
  <Pages>2</Pages>
  <Words>1181</Words>
  <Characters>1208</Characters>
  <Lines>0</Lines>
  <Paragraphs>0</Paragraphs>
  <TotalTime>2</TotalTime>
  <ScaleCrop>false</ScaleCrop>
  <LinksUpToDate>false</LinksUpToDate>
  <CharactersWithSpaces>1208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2023-03-15T08:53:00Z</dcterms:created>
  <dc:creator>cheng</dc:creator>
  <cp:lastModifiedBy>卷毛不卷</cp:lastModifiedBy>
  <dcterms:modified xsi:type="dcterms:W3CDTF">2024-05-29T01:51:39Z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8A9DE6365E8B4866845108EB4B151037_12</vt:lpwstr>
  </property>
</Properties>
</file>