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2" w:name="_GoBack"/>
      <w:bookmarkStart w:id="0" w:name="_Hlk528933888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广州市花都区农业农村局2024年采购瘦肉精检测卡及药物残留检测试剂盒项目评分方案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883" w:firstLineChars="200"/>
        <w:textAlignment w:val="auto"/>
        <w:rPr>
          <w:rFonts w:ascii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一、评标小组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由区动物卫生监督所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及区农业农村局畜牧兽医屠宰管理科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询价评审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委员会成员，局机关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纪委派员担任项目监督员。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召开现场评审会，对投标人的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拆封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、评审，确定中标单位。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三、评审项目及控制价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评审项目：2024年瘦肉精检测卡及药物残留检测试剂盒采购项目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控制价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在询价评审中，评委对投标人进行符合性审查，同等条件下，选取报价最低的投标人。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、评审流程及标准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（一）初步评审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符合性进行评审（见表1）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表1：符合性评审表</w:t>
      </w: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5878"/>
        <w:gridCol w:w="750"/>
        <w:gridCol w:w="70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资格审查内容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营业执照（或事业单位法人证书，或社会团体法人登记证书，或执业许可证）、组织机构代码证和税务登记证（或三证合一证明）复印件。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所投产品的生产企业具有ISO9001 质量体系认证。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2.★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所投产品的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“瘦肉精”快速检测卡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三项在（《关于印送“瘦肉精”免疫速测产品评价结果的函》（国检（京饲）函【2023】22号）的推荐清单中，所投产品须为GMP企业生产，且多残留试纸卡评价结果为十二合一及以上。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响应函（如果是法定代表人亲自签署响应文件，则提供法定代表人证明书；如不是法定代表人亲自签署响应文件，则须提供法定代表人证明书及法定代表人的授权书，须提交且签字有效、并加盖公章有效）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法定代表人证明书或法定代表人授权委托书、经办人复印件。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具有履行合同所必需的设备和专业技术能力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（若投标方是生产厂家需提供设备发票及照片，若投标方是代理商可只提供承诺函）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打“★”号条款为实质性条款，投标人如有任何一条负偏离则导致投标无效，投标人是否符合相关要求，并提供相应试剂盒技术参数/说明书复印件、服务承诺函。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相关文件（1.质量保证措施方案；2.售后服务方案、售后服务机构情况介绍；3.交货、运输方案；4.生产商针对本项目出具的授权书，授权书中须注明项目名称及项目编号（代理商提供）。以上文件如果过于简单，未能真实表述相关内容要求的视作不符合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合同期间协助采购方举办不少于2次食品安全相关培训班，培训产生所有费用由中标方支付，提供承诺书。（加盖公章有效）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报价表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以上符合性审查项目评审标准为“通过”和“不通过”，通过的打“Ｏ”，不通过的打“×”。如对符合性审查评审中有一项不能通过评审，则最终评审结果为“不通过”。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通过的进入报价评审环节。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评委对投标人进行符合性审查，同等条件下，按照“符合采购需求，质量和服务相等且总报价最低”的原则确定供应商。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报价评审表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72"/>
        <w:gridCol w:w="19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投标人公司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结论：经过对上述x家公司的各项条件对比，xxxx公司在同类项目服务经验及服务费报价上较其他x家公司更有优势，更有利本项目服务的开展。因此，建议xxx公司为本项目的供应商。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选定供应商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按照符合性审查结果，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按投标报价由低到高顺序排列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bookmarkStart w:id="1" w:name="_Hlk52893899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同等条件下，选取报价最低的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评审结果公示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评审结果将会在广州市花都区农业农村局网站进行公示。</w:t>
      </w:r>
    </w:p>
    <w:bookmarkEnd w:id="2"/>
    <w:sectPr>
      <w:headerReference r:id="rId3" w:type="default"/>
      <w:footerReference r:id="rId4" w:type="default"/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zdlYjBlMzE4NWRiMzMzZmI1MTM0MjAzZGZhNmMifQ=="/>
  </w:docVars>
  <w:rsids>
    <w:rsidRoot w:val="00875638"/>
    <w:rsid w:val="00092CE9"/>
    <w:rsid w:val="000E3D9E"/>
    <w:rsid w:val="000F1236"/>
    <w:rsid w:val="00107E59"/>
    <w:rsid w:val="001332A8"/>
    <w:rsid w:val="00184D8C"/>
    <w:rsid w:val="001B5505"/>
    <w:rsid w:val="001C3ED8"/>
    <w:rsid w:val="001D2BEC"/>
    <w:rsid w:val="00211540"/>
    <w:rsid w:val="00215BB2"/>
    <w:rsid w:val="00231044"/>
    <w:rsid w:val="0023544F"/>
    <w:rsid w:val="00235684"/>
    <w:rsid w:val="00265BD8"/>
    <w:rsid w:val="00266EB6"/>
    <w:rsid w:val="0028528E"/>
    <w:rsid w:val="002C31D5"/>
    <w:rsid w:val="002D4C80"/>
    <w:rsid w:val="00300F71"/>
    <w:rsid w:val="0031063F"/>
    <w:rsid w:val="00321591"/>
    <w:rsid w:val="003219E9"/>
    <w:rsid w:val="00324DD6"/>
    <w:rsid w:val="003326DA"/>
    <w:rsid w:val="003419B5"/>
    <w:rsid w:val="00351486"/>
    <w:rsid w:val="00364B5F"/>
    <w:rsid w:val="003721DE"/>
    <w:rsid w:val="003740E6"/>
    <w:rsid w:val="00374A95"/>
    <w:rsid w:val="003A0D67"/>
    <w:rsid w:val="003B537B"/>
    <w:rsid w:val="003C4990"/>
    <w:rsid w:val="003D4FF5"/>
    <w:rsid w:val="003D5A60"/>
    <w:rsid w:val="003E5501"/>
    <w:rsid w:val="0041206C"/>
    <w:rsid w:val="004211DE"/>
    <w:rsid w:val="00427D15"/>
    <w:rsid w:val="004327A8"/>
    <w:rsid w:val="00437207"/>
    <w:rsid w:val="00464E87"/>
    <w:rsid w:val="00484434"/>
    <w:rsid w:val="004A0B59"/>
    <w:rsid w:val="004B5D43"/>
    <w:rsid w:val="004C33F1"/>
    <w:rsid w:val="004D025A"/>
    <w:rsid w:val="00511B93"/>
    <w:rsid w:val="00533F78"/>
    <w:rsid w:val="00536260"/>
    <w:rsid w:val="00582EFE"/>
    <w:rsid w:val="005949A3"/>
    <w:rsid w:val="005F6FE5"/>
    <w:rsid w:val="00643D23"/>
    <w:rsid w:val="006500D3"/>
    <w:rsid w:val="00654898"/>
    <w:rsid w:val="0068592D"/>
    <w:rsid w:val="006C6722"/>
    <w:rsid w:val="006D484D"/>
    <w:rsid w:val="006F4A87"/>
    <w:rsid w:val="00701F6E"/>
    <w:rsid w:val="00707AA3"/>
    <w:rsid w:val="007966F0"/>
    <w:rsid w:val="007A0D32"/>
    <w:rsid w:val="007D40EA"/>
    <w:rsid w:val="007F0137"/>
    <w:rsid w:val="007F671A"/>
    <w:rsid w:val="00815B52"/>
    <w:rsid w:val="008167B1"/>
    <w:rsid w:val="00875638"/>
    <w:rsid w:val="008B08DD"/>
    <w:rsid w:val="008C6ACF"/>
    <w:rsid w:val="008D3EFF"/>
    <w:rsid w:val="00906A16"/>
    <w:rsid w:val="00923B3D"/>
    <w:rsid w:val="00940B64"/>
    <w:rsid w:val="00952C3D"/>
    <w:rsid w:val="00961563"/>
    <w:rsid w:val="00963D53"/>
    <w:rsid w:val="00967C39"/>
    <w:rsid w:val="0099149E"/>
    <w:rsid w:val="009918E9"/>
    <w:rsid w:val="009B690F"/>
    <w:rsid w:val="00A01753"/>
    <w:rsid w:val="00A21A12"/>
    <w:rsid w:val="00A25AAF"/>
    <w:rsid w:val="00A32030"/>
    <w:rsid w:val="00A511A5"/>
    <w:rsid w:val="00A577F6"/>
    <w:rsid w:val="00A60068"/>
    <w:rsid w:val="00A715F5"/>
    <w:rsid w:val="00A8255E"/>
    <w:rsid w:val="00A86ABB"/>
    <w:rsid w:val="00AA2D74"/>
    <w:rsid w:val="00AA5024"/>
    <w:rsid w:val="00AE2C7D"/>
    <w:rsid w:val="00AF1672"/>
    <w:rsid w:val="00B24A18"/>
    <w:rsid w:val="00B273BD"/>
    <w:rsid w:val="00B632D1"/>
    <w:rsid w:val="00B807D9"/>
    <w:rsid w:val="00B811C9"/>
    <w:rsid w:val="00BC1133"/>
    <w:rsid w:val="00BF18B8"/>
    <w:rsid w:val="00C168C1"/>
    <w:rsid w:val="00C21A2A"/>
    <w:rsid w:val="00C22A1F"/>
    <w:rsid w:val="00C264FD"/>
    <w:rsid w:val="00C94A57"/>
    <w:rsid w:val="00C96B47"/>
    <w:rsid w:val="00C97A81"/>
    <w:rsid w:val="00CB4A4E"/>
    <w:rsid w:val="00CC7BA2"/>
    <w:rsid w:val="00CD2A4D"/>
    <w:rsid w:val="00CD4A35"/>
    <w:rsid w:val="00CF449D"/>
    <w:rsid w:val="00D07DBD"/>
    <w:rsid w:val="00D16070"/>
    <w:rsid w:val="00D675D0"/>
    <w:rsid w:val="00D76FA6"/>
    <w:rsid w:val="00D822E6"/>
    <w:rsid w:val="00D863DE"/>
    <w:rsid w:val="00DA6600"/>
    <w:rsid w:val="00DC6806"/>
    <w:rsid w:val="00E07BF4"/>
    <w:rsid w:val="00E87B43"/>
    <w:rsid w:val="00E94BEC"/>
    <w:rsid w:val="00EA02B9"/>
    <w:rsid w:val="00EB6889"/>
    <w:rsid w:val="00EC19DC"/>
    <w:rsid w:val="00EC392F"/>
    <w:rsid w:val="00EC5C88"/>
    <w:rsid w:val="00EE20A4"/>
    <w:rsid w:val="00F3745A"/>
    <w:rsid w:val="00F450E5"/>
    <w:rsid w:val="00F546E3"/>
    <w:rsid w:val="00F73B97"/>
    <w:rsid w:val="00F77588"/>
    <w:rsid w:val="00F9122E"/>
    <w:rsid w:val="00FA47B5"/>
    <w:rsid w:val="00FD3060"/>
    <w:rsid w:val="00FE62E2"/>
    <w:rsid w:val="00FF1E4F"/>
    <w:rsid w:val="03742BB2"/>
    <w:rsid w:val="03F82848"/>
    <w:rsid w:val="04DC7DA2"/>
    <w:rsid w:val="05551A22"/>
    <w:rsid w:val="063B70FC"/>
    <w:rsid w:val="09E26BD3"/>
    <w:rsid w:val="0B800699"/>
    <w:rsid w:val="0E2A021A"/>
    <w:rsid w:val="0E4B09AA"/>
    <w:rsid w:val="14C66B32"/>
    <w:rsid w:val="14E1472B"/>
    <w:rsid w:val="161A211F"/>
    <w:rsid w:val="163343D7"/>
    <w:rsid w:val="17656A9C"/>
    <w:rsid w:val="18507BCC"/>
    <w:rsid w:val="1BA231DE"/>
    <w:rsid w:val="1C186A2A"/>
    <w:rsid w:val="1D4357CD"/>
    <w:rsid w:val="1D5F0E19"/>
    <w:rsid w:val="2257679D"/>
    <w:rsid w:val="247B23D8"/>
    <w:rsid w:val="30D41EE0"/>
    <w:rsid w:val="32A265DB"/>
    <w:rsid w:val="335B4BC5"/>
    <w:rsid w:val="33E41CA4"/>
    <w:rsid w:val="354A2041"/>
    <w:rsid w:val="39127DB0"/>
    <w:rsid w:val="39420C9A"/>
    <w:rsid w:val="3BB27D21"/>
    <w:rsid w:val="3CF10966"/>
    <w:rsid w:val="3EA8612D"/>
    <w:rsid w:val="40E11007"/>
    <w:rsid w:val="413F522A"/>
    <w:rsid w:val="462C23C1"/>
    <w:rsid w:val="46642D24"/>
    <w:rsid w:val="47CB04B5"/>
    <w:rsid w:val="48577C8E"/>
    <w:rsid w:val="48765219"/>
    <w:rsid w:val="4BE514F3"/>
    <w:rsid w:val="4CBC34E6"/>
    <w:rsid w:val="50F47563"/>
    <w:rsid w:val="52136F47"/>
    <w:rsid w:val="540624B7"/>
    <w:rsid w:val="54E25002"/>
    <w:rsid w:val="57A94D20"/>
    <w:rsid w:val="5C6F3B2D"/>
    <w:rsid w:val="5D112D55"/>
    <w:rsid w:val="617D18F8"/>
    <w:rsid w:val="62A22585"/>
    <w:rsid w:val="63BC6F59"/>
    <w:rsid w:val="649220B0"/>
    <w:rsid w:val="66696571"/>
    <w:rsid w:val="6A8D7B04"/>
    <w:rsid w:val="6AB15FC5"/>
    <w:rsid w:val="6B307B69"/>
    <w:rsid w:val="6B8A4DA2"/>
    <w:rsid w:val="6BBF6FD2"/>
    <w:rsid w:val="705527B8"/>
    <w:rsid w:val="70B84386"/>
    <w:rsid w:val="71286FBE"/>
    <w:rsid w:val="734377AD"/>
    <w:rsid w:val="7748458E"/>
    <w:rsid w:val="784312FA"/>
    <w:rsid w:val="790439F2"/>
    <w:rsid w:val="7BF514DC"/>
    <w:rsid w:val="7C1620AD"/>
    <w:rsid w:val="7FE9630A"/>
    <w:rsid w:val="7F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Times New Roman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31FEB-DB2E-4547-AC37-D6C123BC5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1255</Words>
  <Characters>1285</Characters>
  <Lines>10</Lines>
  <Paragraphs>3</Paragraphs>
  <TotalTime>5</TotalTime>
  <ScaleCrop>false</ScaleCrop>
  <LinksUpToDate>false</LinksUpToDate>
  <CharactersWithSpaces>1287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2018-11-02T06:29:00Z</dcterms:created>
  <dc:creator>admin</dc:creator>
  <cp:lastModifiedBy>huadu</cp:lastModifiedBy>
  <cp:lastPrinted>2024-06-21T02:58:53Z</cp:lastPrinted>
  <dcterms:modified xsi:type="dcterms:W3CDTF">2024-06-21T03:02:17Z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28040272914B44C393D9EB42E287B782</vt:lpwstr>
  </property>
</Properties>
</file>