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adjustRightInd w:val="0"/>
        <w:snapToGrid w:val="0"/>
        <w:spacing w:before="0" w:beforeAutospacing="0" w:after="0" w:afterAutospacing="0" w:line="560" w:lineRule="exact"/>
        <w:ind w:firstLine="0" w:firstLineChars="0"/>
        <w:jc w:val="center"/>
        <w:rPr>
          <w:rFonts w:ascii="方正小标宋简体" w:hAnsi="方正小标宋简体" w:eastAsia="方正小标宋简体" w:cs="方正小标宋简体"/>
          <w:sz w:val="44"/>
          <w:szCs w:val="44"/>
          <w:highlight w:val="none"/>
        </w:rPr>
      </w:pPr>
      <w:bookmarkStart w:id="3" w:name="_GoBack"/>
      <w:bookmarkEnd w:id="3"/>
      <w:r>
        <w:rPr>
          <w:rFonts w:hint="eastAsia" w:ascii="方正小标宋简体" w:hAnsi="方正小标宋简体" w:eastAsia="方正小标宋简体" w:cs="方正小标宋简体"/>
          <w:sz w:val="44"/>
          <w:szCs w:val="44"/>
          <w:highlight w:val="none"/>
        </w:rPr>
        <w:t>广州市花都区农村集体经营性建设用地</w:t>
      </w:r>
    </w:p>
    <w:p>
      <w:pPr>
        <w:pStyle w:val="11"/>
        <w:widowControl/>
        <w:adjustRightInd w:val="0"/>
        <w:snapToGrid w:val="0"/>
        <w:spacing w:before="0" w:beforeAutospacing="0" w:after="0" w:afterAutospacing="0" w:line="560" w:lineRule="exact"/>
        <w:ind w:firstLine="0" w:firstLineChars="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土地增值收益调节金征收使用</w:t>
      </w:r>
    </w:p>
    <w:p>
      <w:pPr>
        <w:pStyle w:val="11"/>
        <w:widowControl/>
        <w:adjustRightInd w:val="0"/>
        <w:snapToGrid w:val="0"/>
        <w:spacing w:before="0" w:beforeAutospacing="0" w:after="0" w:afterAutospacing="0" w:line="560" w:lineRule="exact"/>
        <w:ind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管理细则（试行）</w:t>
      </w:r>
    </w:p>
    <w:p>
      <w:pPr>
        <w:pStyle w:val="11"/>
        <w:widowControl/>
        <w:adjustRightInd w:val="0"/>
        <w:snapToGrid w:val="0"/>
        <w:spacing w:before="0" w:beforeAutospacing="0" w:after="0" w:afterAutospacing="0" w:line="560" w:lineRule="exact"/>
        <w:ind w:firstLine="0" w:firstLineChars="0"/>
        <w:jc w:val="center"/>
        <w:rPr>
          <w:rFonts w:ascii="黑体" w:hAnsi="黑体" w:eastAsia="黑体" w:cs="黑体"/>
          <w:sz w:val="44"/>
          <w:szCs w:val="44"/>
          <w:highlight w:val="none"/>
        </w:rPr>
      </w:pPr>
      <w:r>
        <w:rPr>
          <w:rFonts w:hint="eastAsia" w:ascii="楷体" w:hAnsi="楷体" w:eastAsia="楷体" w:cs="楷体"/>
          <w:szCs w:val="32"/>
          <w:highlight w:val="none"/>
        </w:rPr>
        <w:t>（</w:t>
      </w:r>
      <w:r>
        <w:rPr>
          <w:rFonts w:hint="eastAsia" w:ascii="楷体" w:hAnsi="楷体" w:eastAsia="楷体" w:cs="楷体"/>
          <w:szCs w:val="32"/>
          <w:highlight w:val="none"/>
          <w:lang w:val="en-US" w:eastAsia="zh-CN"/>
        </w:rPr>
        <w:t>征求公众意见稿</w:t>
      </w:r>
      <w:r>
        <w:rPr>
          <w:rFonts w:hint="eastAsia" w:ascii="楷体" w:hAnsi="楷体" w:eastAsia="楷体" w:cs="楷体"/>
          <w:szCs w:val="32"/>
          <w:highlight w:val="none"/>
        </w:rPr>
        <w:t>）</w:t>
      </w:r>
    </w:p>
    <w:p>
      <w:pPr>
        <w:pStyle w:val="11"/>
        <w:widowControl/>
        <w:adjustRightInd w:val="0"/>
        <w:snapToGrid w:val="0"/>
        <w:spacing w:before="0" w:beforeAutospacing="0" w:after="0" w:afterAutospacing="0" w:line="560" w:lineRule="exact"/>
        <w:ind w:firstLine="0" w:firstLineChars="0"/>
        <w:jc w:val="center"/>
        <w:rPr>
          <w:rFonts w:ascii="黑体" w:hAnsi="黑体" w:eastAsia="黑体" w:cs="黑体"/>
          <w:sz w:val="44"/>
          <w:szCs w:val="44"/>
          <w:highlight w:val="none"/>
        </w:rPr>
      </w:pPr>
    </w:p>
    <w:p>
      <w:pPr>
        <w:pStyle w:val="2"/>
        <w:tabs>
          <w:tab w:val="left" w:pos="0"/>
        </w:tabs>
        <w:snapToGrid w:val="0"/>
        <w:spacing w:before="0" w:after="0" w:line="560" w:lineRule="exact"/>
        <w:ind w:firstLine="0" w:firstLineChars="0"/>
        <w:jc w:val="center"/>
        <w:rPr>
          <w:rStyle w:val="16"/>
          <w:rFonts w:ascii="黑体" w:hAnsi="黑体" w:eastAsia="黑体" w:cs="黑体"/>
          <w:b w:val="0"/>
          <w:sz w:val="32"/>
          <w:szCs w:val="32"/>
          <w:highlight w:val="none"/>
        </w:rPr>
      </w:pPr>
      <w:r>
        <w:rPr>
          <w:rStyle w:val="16"/>
          <w:rFonts w:hint="eastAsia" w:ascii="黑体" w:hAnsi="黑体" w:eastAsia="黑体" w:cs="黑体"/>
          <w:b w:val="0"/>
          <w:sz w:val="32"/>
          <w:szCs w:val="32"/>
          <w:highlight w:val="none"/>
        </w:rPr>
        <w:t>第一章</w:t>
      </w:r>
      <w:r>
        <w:rPr>
          <w:rStyle w:val="16"/>
          <w:rFonts w:ascii="黑体" w:hAnsi="黑体" w:eastAsia="黑体" w:cs="黑体"/>
          <w:b w:val="0"/>
          <w:sz w:val="32"/>
          <w:szCs w:val="32"/>
          <w:highlight w:val="none"/>
        </w:rPr>
        <w:t xml:space="preserve"> </w:t>
      </w:r>
      <w:r>
        <w:rPr>
          <w:rStyle w:val="16"/>
          <w:rFonts w:hint="eastAsia" w:ascii="黑体" w:hAnsi="黑体" w:eastAsia="黑体" w:cs="黑体"/>
          <w:b w:val="0"/>
          <w:sz w:val="32"/>
          <w:szCs w:val="32"/>
          <w:highlight w:val="none"/>
        </w:rPr>
        <w:t>总</w:t>
      </w:r>
      <w:r>
        <w:rPr>
          <w:rStyle w:val="16"/>
          <w:rFonts w:ascii="黑体" w:hAnsi="黑体" w:eastAsia="黑体" w:cs="黑体"/>
          <w:b w:val="0"/>
          <w:sz w:val="32"/>
          <w:szCs w:val="32"/>
          <w:highlight w:val="none"/>
        </w:rPr>
        <w:t xml:space="preserve">  </w:t>
      </w:r>
      <w:r>
        <w:rPr>
          <w:rStyle w:val="16"/>
          <w:rFonts w:hint="eastAsia" w:ascii="黑体" w:hAnsi="黑体" w:eastAsia="黑体" w:cs="黑体"/>
          <w:b w:val="0"/>
          <w:sz w:val="32"/>
          <w:szCs w:val="32"/>
          <w:highlight w:val="none"/>
        </w:rPr>
        <w:t>则</w:t>
      </w:r>
    </w:p>
    <w:p>
      <w:pPr>
        <w:numPr>
          <w:ilvl w:val="1"/>
          <w:numId w:val="0"/>
        </w:numPr>
        <w:snapToGrid w:val="0"/>
        <w:spacing w:line="560" w:lineRule="exact"/>
        <w:ind w:firstLine="643" w:firstLineChars="200"/>
        <w:outlineLvl w:val="1"/>
        <w:rPr>
          <w:rFonts w:hint="eastAsia" w:ascii="仿宋" w:hAnsi="仿宋" w:eastAsia="仿宋" w:cs="仿宋"/>
          <w:szCs w:val="32"/>
          <w:highlight w:val="none"/>
        </w:rPr>
      </w:pPr>
      <w:r>
        <w:rPr>
          <w:rFonts w:hint="eastAsia" w:ascii="仿宋" w:hAnsi="仿宋" w:eastAsia="仿宋" w:cs="仿宋"/>
          <w:b/>
          <w:bCs/>
          <w:highlight w:val="none"/>
        </w:rPr>
        <w:t>第一条</w:t>
      </w:r>
      <w:r>
        <w:rPr>
          <w:rFonts w:hint="eastAsia" w:ascii="仿宋" w:hAnsi="仿宋" w:eastAsia="仿宋" w:cs="仿宋"/>
          <w:szCs w:val="32"/>
          <w:highlight w:val="none"/>
        </w:rPr>
        <w:t>【目的依据】 为贯彻落实中共中央关于建立健全城乡统一建设用地市场的目标要求，规范广州市花都区农村集体经营性建设用地入市土地增值收益调节金（以下简称“调节金”）征收和使用管理，建立兼顾国家、农村集体经济组织</w:t>
      </w:r>
      <w:r>
        <w:rPr>
          <w:rFonts w:hint="eastAsia" w:ascii="仿宋" w:hAnsi="仿宋" w:eastAsia="仿宋" w:cs="仿宋"/>
          <w:szCs w:val="32"/>
          <w:highlight w:val="none"/>
          <w:lang w:val="en-US" w:eastAsia="zh-CN"/>
        </w:rPr>
        <w:t>和</w:t>
      </w:r>
      <w:r>
        <w:rPr>
          <w:rFonts w:hint="eastAsia" w:ascii="仿宋" w:hAnsi="仿宋" w:eastAsia="仿宋" w:cs="仿宋"/>
          <w:szCs w:val="32"/>
          <w:highlight w:val="none"/>
        </w:rPr>
        <w:t>集体经济组织成员的土地增值收益分配机制，</w:t>
      </w:r>
      <w:r>
        <w:rPr>
          <w:rFonts w:hint="eastAsia" w:ascii="仿宋" w:hAnsi="仿宋" w:eastAsia="仿宋" w:cs="仿宋"/>
          <w:szCs w:val="32"/>
          <w:highlight w:val="none"/>
          <w:lang w:val="en-US" w:eastAsia="zh-CN"/>
        </w:rPr>
        <w:t>在</w:t>
      </w:r>
      <w:r>
        <w:rPr>
          <w:rFonts w:hint="eastAsia" w:ascii="仿宋" w:hAnsi="仿宋" w:eastAsia="仿宋" w:cs="仿宋"/>
          <w:szCs w:val="32"/>
          <w:highlight w:val="none"/>
        </w:rPr>
        <w:t>保障农村集体经济组织及集体经济组织成员合法权益</w:t>
      </w:r>
      <w:r>
        <w:rPr>
          <w:rFonts w:hint="eastAsia" w:ascii="仿宋" w:hAnsi="仿宋" w:eastAsia="仿宋" w:cs="仿宋"/>
          <w:szCs w:val="32"/>
          <w:highlight w:val="none"/>
          <w:lang w:val="en-US" w:eastAsia="zh-CN"/>
        </w:rPr>
        <w:t>的原则下</w:t>
      </w:r>
      <w:r>
        <w:rPr>
          <w:rFonts w:hint="eastAsia" w:ascii="仿宋" w:hAnsi="仿宋" w:eastAsia="仿宋" w:cs="仿宋"/>
          <w:szCs w:val="32"/>
          <w:highlight w:val="none"/>
        </w:rPr>
        <w:t>，根据《财政部 自然资源部关于延续实施农村集体经营性建设用地土地增值收益调节金政策的通知》（财税〔2023</w:t>
      </w:r>
      <w:r>
        <w:rPr>
          <w:rFonts w:hint="eastAsia" w:ascii="仿宋" w:hAnsi="仿宋" w:eastAsia="仿宋" w:cs="仿宋"/>
          <w:kern w:val="2"/>
          <w:szCs w:val="32"/>
          <w:highlight w:val="none"/>
        </w:rPr>
        <w:t>〕</w:t>
      </w:r>
      <w:r>
        <w:rPr>
          <w:rFonts w:hint="eastAsia" w:ascii="仿宋" w:hAnsi="仿宋" w:eastAsia="仿宋" w:cs="仿宋"/>
          <w:szCs w:val="32"/>
          <w:highlight w:val="none"/>
        </w:rPr>
        <w:t>52号）</w:t>
      </w:r>
      <w:r>
        <w:rPr>
          <w:rFonts w:hint="eastAsia" w:ascii="仿宋" w:hAnsi="仿宋" w:eastAsia="仿宋" w:cs="仿宋"/>
          <w:szCs w:val="32"/>
          <w:highlight w:val="none"/>
          <w:lang w:eastAsia="zh-CN"/>
        </w:rPr>
        <w:t>、</w:t>
      </w:r>
      <w:r>
        <w:rPr>
          <w:rFonts w:hint="eastAsia" w:ascii="仿宋" w:hAnsi="仿宋" w:eastAsia="仿宋" w:cs="仿宋"/>
          <w:szCs w:val="32"/>
          <w:highlight w:val="none"/>
        </w:rPr>
        <w:t>《广东省财政厅 广东省自然资源厅转发财政部 自然资源部关于延续实施农村集体经营性建设用地土地增值收益调节金政策的通知》（粤财税〔2023〕44号）</w:t>
      </w:r>
      <w:r>
        <w:rPr>
          <w:rFonts w:hint="eastAsia" w:ascii="仿宋" w:hAnsi="仿宋" w:eastAsia="仿宋" w:cs="仿宋"/>
          <w:szCs w:val="32"/>
          <w:highlight w:val="none"/>
          <w:lang w:eastAsia="zh-CN"/>
        </w:rPr>
        <w:t>、</w:t>
      </w:r>
      <w:r>
        <w:rPr>
          <w:rFonts w:hint="eastAsia" w:ascii="仿宋" w:hAnsi="仿宋" w:eastAsia="仿宋" w:cs="仿宋"/>
          <w:szCs w:val="32"/>
          <w:highlight w:val="none"/>
        </w:rPr>
        <w:t>《农村集体经营性建设用地土地增值收益调节金征收使用管理暂行办法》</w:t>
      </w:r>
      <w:r>
        <w:rPr>
          <w:rFonts w:hint="eastAsia" w:ascii="仿宋" w:hAnsi="仿宋" w:eastAsia="仿宋" w:cs="仿宋"/>
          <w:kern w:val="2"/>
          <w:szCs w:val="32"/>
          <w:highlight w:val="none"/>
        </w:rPr>
        <w:t>（财税〔2016〕41号</w:t>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和</w:t>
      </w:r>
      <w:r>
        <w:rPr>
          <w:rFonts w:hint="eastAsia" w:ascii="仿宋" w:hAnsi="仿宋" w:eastAsia="仿宋" w:cs="仿宋"/>
          <w:szCs w:val="32"/>
          <w:highlight w:val="none"/>
        </w:rPr>
        <w:t>《广州市花都区农村集体经营性建设用地入市实施细则（试行）》</w:t>
      </w:r>
      <w:r>
        <w:rPr>
          <w:rFonts w:hint="eastAsia" w:ascii="仿宋" w:hAnsi="仿宋" w:eastAsia="仿宋" w:cs="仿宋"/>
          <w:szCs w:val="32"/>
          <w:highlight w:val="none"/>
          <w:lang w:eastAsia="zh-CN"/>
        </w:rPr>
        <w:t>（</w:t>
      </w:r>
      <w:r>
        <w:rPr>
          <w:rFonts w:hint="eastAsia" w:ascii="仿宋" w:hAnsi="仿宋" w:eastAsia="仿宋" w:cs="仿宋"/>
          <w:szCs w:val="32"/>
          <w:highlight w:val="none"/>
        </w:rPr>
        <w:t>穗规划资源花函〔2024〕1240号</w:t>
      </w:r>
      <w:r>
        <w:rPr>
          <w:rFonts w:hint="eastAsia" w:ascii="仿宋" w:hAnsi="仿宋" w:eastAsia="仿宋" w:cs="仿宋"/>
          <w:szCs w:val="32"/>
          <w:highlight w:val="none"/>
          <w:lang w:eastAsia="zh-CN"/>
        </w:rPr>
        <w:t>）</w:t>
      </w:r>
      <w:r>
        <w:rPr>
          <w:rFonts w:hint="eastAsia" w:ascii="仿宋" w:hAnsi="仿宋" w:eastAsia="仿宋" w:cs="仿宋"/>
          <w:szCs w:val="32"/>
          <w:highlight w:val="none"/>
        </w:rPr>
        <w:t>等相关规定，结合本区实际，制定本细则。</w:t>
      </w:r>
    </w:p>
    <w:p>
      <w:pPr>
        <w:numPr>
          <w:ilvl w:val="1"/>
          <w:numId w:val="0"/>
        </w:numPr>
        <w:snapToGrid w:val="0"/>
        <w:spacing w:line="560" w:lineRule="exact"/>
        <w:ind w:firstLine="640" w:firstLineChars="200"/>
        <w:outlineLvl w:val="9"/>
        <w:rPr>
          <w:rFonts w:ascii="仿宋_GB2312" w:eastAsia="仿宋_GB2312"/>
          <w:highlight w:val="none"/>
        </w:rPr>
      </w:pPr>
    </w:p>
    <w:p>
      <w:pPr>
        <w:numPr>
          <w:ilvl w:val="1"/>
          <w:numId w:val="0"/>
        </w:numPr>
        <w:snapToGrid w:val="0"/>
        <w:spacing w:line="560" w:lineRule="exact"/>
        <w:ind w:firstLine="643" w:firstLineChars="200"/>
        <w:outlineLvl w:val="1"/>
        <w:rPr>
          <w:rFonts w:hint="eastAsia" w:ascii="仿宋" w:hAnsi="仿宋" w:eastAsia="仿宋" w:cs="仿宋"/>
          <w:szCs w:val="32"/>
          <w:highlight w:val="none"/>
        </w:rPr>
      </w:pPr>
      <w:r>
        <w:rPr>
          <w:rFonts w:hint="eastAsia" w:ascii="仿宋" w:hAnsi="仿宋" w:eastAsia="仿宋" w:cs="仿宋"/>
          <w:b/>
          <w:bCs/>
          <w:szCs w:val="32"/>
          <w:highlight w:val="none"/>
        </w:rPr>
        <w:t>第二条</w:t>
      </w:r>
      <w:r>
        <w:rPr>
          <w:rFonts w:hint="eastAsia" w:ascii="仿宋" w:hAnsi="仿宋" w:eastAsia="仿宋" w:cs="仿宋"/>
          <w:szCs w:val="32"/>
          <w:highlight w:val="none"/>
        </w:rPr>
        <w:t>【适用范围】 广州市花都区行政区域内按照《广州市花都区农村集体经营性建设用地入市实施细则（试行）》入市的农村集体经营性建设用地，依照本细则缴纳调节金。</w:t>
      </w:r>
    </w:p>
    <w:p>
      <w:pPr>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本细则所称调节金，是指在农村集体经营性建设用地入市及再转让环节，按照建立同权同价、流转顺畅、收益共享的入市制度目标，对土地增值收益收取的资金。农村集体经济组织通过出让、出租等方式取得农村集体经营性建设用地入市收益，以及入市后的受让人（承租人），以转让、转租等方式取得再转让收益时，向国家缴纳调节金。</w:t>
      </w:r>
    </w:p>
    <w:p>
      <w:pPr>
        <w:pStyle w:val="19"/>
        <w:snapToGrid w:val="0"/>
        <w:spacing w:line="560" w:lineRule="exact"/>
        <w:ind w:firstLine="199" w:firstLineChars="83"/>
        <w:rPr>
          <w:rFonts w:ascii="Times New Roman" w:hAnsi="Times New Roman" w:cs="Times New Roman"/>
          <w:highlight w:val="none"/>
        </w:rPr>
      </w:pPr>
    </w:p>
    <w:p>
      <w:pPr>
        <w:pStyle w:val="2"/>
        <w:tabs>
          <w:tab w:val="left" w:pos="0"/>
        </w:tabs>
        <w:snapToGrid w:val="0"/>
        <w:spacing w:before="0" w:after="0" w:line="560" w:lineRule="exact"/>
        <w:ind w:firstLine="0" w:firstLineChars="0"/>
        <w:jc w:val="center"/>
        <w:rPr>
          <w:rStyle w:val="16"/>
          <w:rFonts w:hint="eastAsia" w:ascii="黑体" w:hAnsi="黑体" w:eastAsia="黑体" w:cs="黑体"/>
          <w:b w:val="0"/>
          <w:sz w:val="32"/>
          <w:szCs w:val="32"/>
          <w:highlight w:val="none"/>
        </w:rPr>
      </w:pPr>
      <w:r>
        <w:rPr>
          <w:rStyle w:val="16"/>
          <w:rFonts w:hint="eastAsia" w:ascii="黑体" w:hAnsi="黑体" w:eastAsia="黑体" w:cs="黑体"/>
          <w:b w:val="0"/>
          <w:sz w:val="32"/>
          <w:szCs w:val="32"/>
          <w:highlight w:val="none"/>
        </w:rPr>
        <w:t>第二章</w:t>
      </w:r>
      <w:r>
        <w:rPr>
          <w:rStyle w:val="16"/>
          <w:rFonts w:ascii="黑体" w:hAnsi="黑体" w:eastAsia="黑体" w:cs="黑体"/>
          <w:b w:val="0"/>
          <w:sz w:val="32"/>
          <w:szCs w:val="32"/>
          <w:highlight w:val="none"/>
        </w:rPr>
        <w:t xml:space="preserve"> </w:t>
      </w:r>
      <w:r>
        <w:rPr>
          <w:rStyle w:val="16"/>
          <w:rFonts w:hint="eastAsia" w:ascii="黑体" w:hAnsi="黑体" w:eastAsia="黑体" w:cs="黑体"/>
          <w:b w:val="0"/>
          <w:sz w:val="32"/>
          <w:szCs w:val="32"/>
          <w:highlight w:val="none"/>
        </w:rPr>
        <w:t>调节金征收</w:t>
      </w:r>
    </w:p>
    <w:p>
      <w:pPr>
        <w:numPr>
          <w:ilvl w:val="1"/>
          <w:numId w:val="0"/>
        </w:numPr>
        <w:snapToGrid w:val="0"/>
        <w:spacing w:line="560" w:lineRule="exact"/>
        <w:ind w:firstLine="643" w:firstLineChars="200"/>
        <w:outlineLvl w:val="1"/>
        <w:rPr>
          <w:rFonts w:hint="eastAsia" w:ascii="仿宋" w:hAnsi="仿宋" w:eastAsia="仿宋" w:cs="仿宋"/>
          <w:szCs w:val="32"/>
          <w:highlight w:val="none"/>
        </w:rPr>
      </w:pPr>
      <w:r>
        <w:rPr>
          <w:rFonts w:hint="eastAsia" w:ascii="仿宋" w:hAnsi="仿宋" w:eastAsia="仿宋" w:cs="仿宋"/>
          <w:b/>
          <w:bCs/>
          <w:szCs w:val="32"/>
          <w:highlight w:val="none"/>
        </w:rPr>
        <w:t>第三条</w:t>
      </w:r>
      <w:r>
        <w:rPr>
          <w:rFonts w:hint="eastAsia" w:ascii="仿宋" w:hAnsi="仿宋" w:eastAsia="仿宋" w:cs="仿宋"/>
          <w:szCs w:val="32"/>
          <w:highlight w:val="none"/>
        </w:rPr>
        <w:t>【征收主体】 调节金征收主体为区人民政府，具体由区财政部门会同区自然资源主管部门负责组织征收。</w:t>
      </w:r>
    </w:p>
    <w:p>
      <w:pPr>
        <w:numPr>
          <w:ilvl w:val="1"/>
          <w:numId w:val="0"/>
        </w:numPr>
        <w:snapToGrid w:val="0"/>
        <w:spacing w:line="560" w:lineRule="exact"/>
        <w:ind w:firstLine="643"/>
        <w:outlineLvl w:val="9"/>
        <w:rPr>
          <w:rFonts w:hint="eastAsia" w:ascii="仿宋_GB2312" w:hAnsi="仿宋_GB2312" w:eastAsia="仿宋_GB2312" w:cs="仿宋_GB2312"/>
          <w:b/>
          <w:bCs/>
          <w:szCs w:val="32"/>
          <w:highlight w:val="none"/>
        </w:rPr>
      </w:pPr>
    </w:p>
    <w:p>
      <w:pPr>
        <w:numPr>
          <w:ilvl w:val="1"/>
          <w:numId w:val="0"/>
        </w:numPr>
        <w:snapToGrid w:val="0"/>
        <w:spacing w:line="560" w:lineRule="exact"/>
        <w:ind w:firstLine="643" w:firstLineChars="200"/>
        <w:outlineLvl w:val="1"/>
        <w:rPr>
          <w:rFonts w:hint="eastAsia" w:ascii="仿宋" w:hAnsi="仿宋" w:eastAsia="仿宋" w:cs="仿宋"/>
          <w:szCs w:val="32"/>
          <w:highlight w:val="none"/>
        </w:rPr>
      </w:pPr>
      <w:r>
        <w:rPr>
          <w:rFonts w:hint="eastAsia" w:ascii="仿宋" w:hAnsi="仿宋" w:eastAsia="仿宋" w:cs="仿宋"/>
          <w:b/>
          <w:bCs/>
          <w:szCs w:val="32"/>
          <w:highlight w:val="none"/>
        </w:rPr>
        <w:t>第四条</w:t>
      </w:r>
      <w:r>
        <w:rPr>
          <w:rFonts w:hint="eastAsia" w:ascii="仿宋" w:hAnsi="仿宋" w:eastAsia="仿宋" w:cs="仿宋"/>
          <w:szCs w:val="32"/>
          <w:highlight w:val="none"/>
        </w:rPr>
        <w:t>【缴纳主体】 调节金由农村集体经营性建设用地使用权的出让方、出租方及再转让方缴纳。</w:t>
      </w:r>
    </w:p>
    <w:p>
      <w:pPr>
        <w:pStyle w:val="19"/>
        <w:snapToGrid w:val="0"/>
        <w:spacing w:line="560" w:lineRule="exact"/>
        <w:ind w:firstLine="480"/>
        <w:rPr>
          <w:rFonts w:ascii="Times New Roman" w:hAnsi="Times New Roman" w:cs="Times New Roman"/>
          <w:highlight w:val="none"/>
        </w:rPr>
      </w:pPr>
    </w:p>
    <w:p>
      <w:pPr>
        <w:numPr>
          <w:ilvl w:val="1"/>
          <w:numId w:val="0"/>
        </w:numPr>
        <w:snapToGrid w:val="0"/>
        <w:spacing w:line="560" w:lineRule="exact"/>
        <w:ind w:firstLine="640"/>
        <w:outlineLvl w:val="9"/>
        <w:rPr>
          <w:rFonts w:hint="eastAsia" w:ascii="仿宋_GB2312" w:hAnsi="仿宋_GB2312" w:eastAsia="仿宋_GB2312" w:cs="仿宋_GB2312"/>
          <w:szCs w:val="32"/>
          <w:highlight w:val="none"/>
        </w:rPr>
      </w:pPr>
    </w:p>
    <w:p>
      <w:pPr>
        <w:numPr>
          <w:ilvl w:val="1"/>
          <w:numId w:val="0"/>
        </w:numPr>
        <w:snapToGrid w:val="0"/>
        <w:spacing w:line="560" w:lineRule="exact"/>
        <w:ind w:firstLine="640"/>
        <w:outlineLvl w:val="1"/>
        <w:rPr>
          <w:rFonts w:hint="eastAsia" w:ascii="仿宋" w:hAnsi="仿宋" w:eastAsia="仿宋" w:cs="仿宋"/>
          <w:szCs w:val="32"/>
          <w:highlight w:val="none"/>
        </w:rPr>
      </w:pPr>
      <w:r>
        <w:rPr>
          <w:rFonts w:hint="eastAsia" w:ascii="仿宋" w:hAnsi="仿宋" w:eastAsia="仿宋" w:cs="仿宋"/>
          <w:b/>
          <w:bCs/>
          <w:szCs w:val="32"/>
          <w:highlight w:val="none"/>
        </w:rPr>
        <w:t>第五条</w:t>
      </w:r>
      <w:r>
        <w:rPr>
          <w:rFonts w:hint="eastAsia" w:ascii="仿宋" w:hAnsi="仿宋" w:eastAsia="仿宋" w:cs="仿宋"/>
          <w:bCs/>
          <w:szCs w:val="32"/>
          <w:highlight w:val="none"/>
        </w:rPr>
        <w:t>【入市收入】 农村集体经营性建设用地以出让方式入市的，用地价款总额为入市收入。</w:t>
      </w:r>
      <w:r>
        <w:rPr>
          <w:rFonts w:hint="eastAsia" w:ascii="仿宋" w:hAnsi="仿宋" w:eastAsia="仿宋" w:cs="仿宋"/>
          <w:szCs w:val="32"/>
          <w:highlight w:val="none"/>
        </w:rPr>
        <w:t>以出租方式入市的，租金总额为入市收入。</w:t>
      </w:r>
    </w:p>
    <w:p>
      <w:pPr>
        <w:snapToGrid w:val="0"/>
        <w:spacing w:line="560" w:lineRule="exact"/>
        <w:ind w:firstLine="640"/>
        <w:rPr>
          <w:rFonts w:hint="eastAsia" w:ascii="仿宋_GB2312" w:hAnsi="仿宋_GB2312" w:eastAsia="仿宋_GB2312" w:cs="仿宋_GB2312"/>
          <w:szCs w:val="32"/>
          <w:highlight w:val="none"/>
        </w:rPr>
      </w:pP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bookmarkStart w:id="0" w:name="_Hlk172045015"/>
      <w:r>
        <w:rPr>
          <w:rFonts w:hint="eastAsia" w:ascii="仿宋" w:hAnsi="仿宋" w:eastAsia="仿宋" w:cs="仿宋"/>
          <w:b/>
          <w:bCs/>
          <w:szCs w:val="32"/>
          <w:highlight w:val="none"/>
        </w:rPr>
        <w:t>第六条</w:t>
      </w:r>
      <w:r>
        <w:rPr>
          <w:rFonts w:hint="eastAsia" w:ascii="仿宋" w:hAnsi="仿宋" w:eastAsia="仿宋" w:cs="仿宋"/>
          <w:bCs/>
          <w:szCs w:val="32"/>
          <w:highlight w:val="none"/>
        </w:rPr>
        <w:t>【再转让收入】 以转让、转租等方式再转让农村集体经营性建设用地的，再转让收入按以下方式确定：</w:t>
      </w:r>
    </w:p>
    <w:p>
      <w:pPr>
        <w:numPr>
          <w:ilvl w:val="0"/>
          <w:numId w:val="0"/>
        </w:numPr>
        <w:snapToGrid w:val="0"/>
        <w:spacing w:line="560" w:lineRule="exact"/>
        <w:ind w:firstLine="640"/>
        <w:rPr>
          <w:rFonts w:hint="eastAsia" w:ascii="仿宋" w:hAnsi="仿宋" w:eastAsia="仿宋" w:cs="仿宋"/>
          <w:szCs w:val="32"/>
          <w:highlight w:val="none"/>
        </w:rPr>
      </w:pPr>
      <w:r>
        <w:rPr>
          <w:rFonts w:hint="eastAsia" w:ascii="仿宋" w:hAnsi="仿宋" w:eastAsia="仿宋" w:cs="仿宋"/>
          <w:kern w:val="2"/>
          <w:sz w:val="32"/>
          <w:szCs w:val="32"/>
          <w:highlight w:val="none"/>
          <w:lang w:val="en-US" w:eastAsia="zh-CN" w:bidi="ar-SA"/>
        </w:rPr>
        <w:t>（一）</w:t>
      </w:r>
      <w:r>
        <w:rPr>
          <w:rFonts w:hint="eastAsia" w:ascii="仿宋" w:hAnsi="仿宋" w:eastAsia="仿宋" w:cs="仿宋"/>
          <w:szCs w:val="32"/>
          <w:highlight w:val="none"/>
        </w:rPr>
        <w:t>以转让方式再转让的，销售价款为再转让收入。</w:t>
      </w:r>
    </w:p>
    <w:p>
      <w:pPr>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二</w:t>
      </w:r>
      <w:r>
        <w:rPr>
          <w:rFonts w:hint="eastAsia" w:ascii="仿宋" w:hAnsi="仿宋" w:eastAsia="仿宋" w:cs="仿宋"/>
          <w:szCs w:val="32"/>
          <w:highlight w:val="none"/>
        </w:rPr>
        <w:t>）以转</w:t>
      </w:r>
      <w:r>
        <w:rPr>
          <w:rFonts w:hint="eastAsia" w:ascii="仿宋" w:hAnsi="仿宋" w:eastAsia="仿宋" w:cs="仿宋"/>
          <w:szCs w:val="32"/>
          <w:highlight w:val="none"/>
          <w:lang w:val="en-US" w:eastAsia="zh-CN"/>
        </w:rPr>
        <w:t>租</w:t>
      </w:r>
      <w:r>
        <w:rPr>
          <w:rFonts w:hint="eastAsia" w:ascii="仿宋" w:hAnsi="仿宋" w:eastAsia="仿宋" w:cs="仿宋"/>
          <w:szCs w:val="32"/>
          <w:highlight w:val="none"/>
        </w:rPr>
        <w:t>方式再转让的，租赁总价款为再转让收入。</w:t>
      </w:r>
    </w:p>
    <w:bookmarkEnd w:id="0"/>
    <w:p>
      <w:pPr>
        <w:snapToGrid w:val="0"/>
        <w:spacing w:line="560" w:lineRule="exact"/>
        <w:ind w:firstLine="640"/>
        <w:rPr>
          <w:rFonts w:hint="eastAsia" w:ascii="仿宋_GB2312" w:hAnsi="仿宋_GB2312" w:eastAsia="仿宋_GB2312" w:cs="仿宋_GB2312"/>
          <w:szCs w:val="32"/>
          <w:highlight w:val="none"/>
        </w:rPr>
      </w:pPr>
    </w:p>
    <w:p>
      <w:pPr>
        <w:pStyle w:val="35"/>
        <w:snapToGrid w:val="0"/>
        <w:spacing w:line="560" w:lineRule="exact"/>
        <w:ind w:firstLine="643" w:firstLineChars="200"/>
        <w:outlineLvl w:val="1"/>
        <w:rPr>
          <w:rStyle w:val="16"/>
          <w:rFonts w:hint="eastAsia" w:ascii="仿宋" w:hAnsi="仿宋" w:eastAsia="仿宋" w:cs="仿宋"/>
          <w:b w:val="0"/>
          <w:bCs/>
          <w:sz w:val="32"/>
          <w:szCs w:val="32"/>
          <w:highlight w:val="none"/>
        </w:rPr>
      </w:pPr>
      <w:r>
        <w:rPr>
          <w:rStyle w:val="16"/>
          <w:rFonts w:hint="eastAsia" w:ascii="仿宋" w:hAnsi="仿宋" w:eastAsia="仿宋" w:cs="仿宋"/>
          <w:sz w:val="32"/>
          <w:szCs w:val="32"/>
          <w:highlight w:val="none"/>
        </w:rPr>
        <w:t>第七条</w:t>
      </w:r>
      <w:r>
        <w:rPr>
          <w:rFonts w:hint="eastAsia" w:ascii="仿宋" w:hAnsi="仿宋" w:eastAsia="仿宋" w:cs="仿宋"/>
          <w:bCs/>
          <w:sz w:val="32"/>
          <w:szCs w:val="32"/>
          <w:highlight w:val="none"/>
        </w:rPr>
        <w:t>【入市成本】</w:t>
      </w:r>
      <w:r>
        <w:rPr>
          <w:rStyle w:val="16"/>
          <w:rFonts w:hint="eastAsia" w:ascii="仿宋" w:hAnsi="仿宋" w:eastAsia="仿宋" w:cs="仿宋"/>
          <w:sz w:val="32"/>
          <w:szCs w:val="32"/>
          <w:highlight w:val="none"/>
        </w:rPr>
        <w:t xml:space="preserve"> </w:t>
      </w:r>
      <w:r>
        <w:rPr>
          <w:rStyle w:val="16"/>
          <w:rFonts w:hint="eastAsia" w:ascii="仿宋" w:hAnsi="仿宋" w:eastAsia="仿宋" w:cs="仿宋"/>
          <w:b w:val="0"/>
          <w:bCs/>
          <w:sz w:val="32"/>
          <w:szCs w:val="32"/>
          <w:highlight w:val="none"/>
        </w:rPr>
        <w:t>农村集体经营性建设用地以出让、出租方式入市的，将入市地块视为新增集体经营性建设用地，采用重置成本法核算土地取得成本，入市成本包括土地取得成本、土地开发支出、入市前期合理费用等：</w:t>
      </w:r>
    </w:p>
    <w:p>
      <w:pPr>
        <w:pStyle w:val="35"/>
        <w:numPr>
          <w:ilvl w:val="0"/>
          <w:numId w:val="0"/>
        </w:numPr>
        <w:snapToGrid w:val="0"/>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kern w:val="2"/>
          <w:sz w:val="32"/>
          <w:szCs w:val="32"/>
          <w:highlight w:val="none"/>
          <w:lang w:val="en-US" w:eastAsia="zh-CN" w:bidi="ar-SA"/>
        </w:rPr>
        <w:t>（一）</w:t>
      </w:r>
      <w:r>
        <w:rPr>
          <w:rFonts w:hint="eastAsia" w:ascii="仿宋" w:hAnsi="仿宋" w:eastAsia="仿宋" w:cs="仿宋"/>
          <w:bCs/>
          <w:sz w:val="32"/>
          <w:szCs w:val="32"/>
          <w:highlight w:val="none"/>
          <w:lang w:val="en-US" w:eastAsia="zh-CN"/>
        </w:rPr>
        <w:t>土地取得成本，</w:t>
      </w:r>
      <w:r>
        <w:rPr>
          <w:rFonts w:hint="eastAsia" w:ascii="仿宋" w:hAnsi="仿宋" w:eastAsia="仿宋" w:cs="仿宋"/>
          <w:bCs/>
          <w:sz w:val="32"/>
          <w:szCs w:val="32"/>
          <w:highlight w:val="none"/>
        </w:rPr>
        <w:t>包括农用地成本以及农</w:t>
      </w:r>
      <w:r>
        <w:rPr>
          <w:rFonts w:hint="eastAsia" w:ascii="仿宋" w:hAnsi="仿宋" w:eastAsia="仿宋" w:cs="仿宋"/>
          <w:bCs/>
          <w:sz w:val="32"/>
          <w:szCs w:val="32"/>
          <w:highlight w:val="none"/>
          <w:lang w:val="en-US" w:eastAsia="zh-CN"/>
        </w:rPr>
        <w:t>用地</w:t>
      </w:r>
      <w:r>
        <w:rPr>
          <w:rFonts w:hint="eastAsia" w:ascii="仿宋" w:hAnsi="仿宋" w:eastAsia="仿宋" w:cs="仿宋"/>
          <w:bCs/>
          <w:sz w:val="32"/>
          <w:szCs w:val="32"/>
          <w:highlight w:val="none"/>
        </w:rPr>
        <w:t>转用涉及费用。</w:t>
      </w:r>
    </w:p>
    <w:p>
      <w:pPr>
        <w:pStyle w:val="35"/>
        <w:snapToGrid w:val="0"/>
        <w:spacing w:line="560" w:lineRule="exact"/>
        <w:ind w:firstLine="640" w:firstLineChars="20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农用地成本</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按照入市地块</w:t>
      </w:r>
      <w:r>
        <w:rPr>
          <w:rFonts w:hint="eastAsia" w:ascii="仿宋" w:hAnsi="仿宋" w:eastAsia="仿宋" w:cs="仿宋"/>
          <w:bCs/>
          <w:sz w:val="32"/>
          <w:szCs w:val="32"/>
          <w:highlight w:val="none"/>
          <w:lang w:val="en-US" w:eastAsia="zh-CN"/>
        </w:rPr>
        <w:t>原农用地的地类,依据取得成交确认书时点对应最新的广州市农用地基准地价成果核算</w:t>
      </w:r>
      <w:r>
        <w:rPr>
          <w:rFonts w:hint="eastAsia" w:ascii="仿宋" w:hAnsi="仿宋" w:eastAsia="仿宋" w:cs="仿宋"/>
          <w:bCs/>
          <w:sz w:val="32"/>
          <w:szCs w:val="32"/>
          <w:highlight w:val="none"/>
        </w:rPr>
        <w:t>。</w:t>
      </w:r>
    </w:p>
    <w:p>
      <w:pPr>
        <w:pStyle w:val="35"/>
        <w:numPr>
          <w:ilvl w:val="0"/>
          <w:numId w:val="0"/>
        </w:numPr>
        <w:snapToGrid w:val="0"/>
        <w:spacing w:line="560" w:lineRule="exact"/>
        <w:ind w:firstLine="640" w:firstLineChars="200"/>
        <w:rPr>
          <w:rFonts w:hint="eastAsia" w:ascii="仿宋" w:hAnsi="仿宋" w:eastAsia="仿宋" w:cs="仿宋"/>
          <w:bCs/>
          <w:sz w:val="32"/>
          <w:szCs w:val="32"/>
          <w:highlight w:val="none"/>
          <w:lang w:eastAsia="zh-CN"/>
        </w:rPr>
      </w:pPr>
      <w:r>
        <w:rPr>
          <w:rFonts w:hint="eastAsia" w:ascii="仿宋" w:hAnsi="仿宋" w:eastAsia="仿宋" w:cs="仿宋"/>
          <w:bCs/>
          <w:kern w:val="2"/>
          <w:sz w:val="32"/>
          <w:szCs w:val="32"/>
          <w:highlight w:val="none"/>
          <w:lang w:val="en-US" w:eastAsia="zh-CN" w:bidi="ar-SA"/>
        </w:rPr>
        <w:t>2.</w:t>
      </w:r>
      <w:r>
        <w:rPr>
          <w:rFonts w:hint="eastAsia" w:ascii="仿宋" w:hAnsi="仿宋" w:eastAsia="仿宋" w:cs="仿宋"/>
          <w:bCs/>
          <w:sz w:val="32"/>
          <w:szCs w:val="32"/>
          <w:highlight w:val="none"/>
        </w:rPr>
        <w:t>农</w:t>
      </w:r>
      <w:r>
        <w:rPr>
          <w:rFonts w:hint="eastAsia" w:ascii="仿宋" w:hAnsi="仿宋" w:eastAsia="仿宋" w:cs="仿宋"/>
          <w:bCs/>
          <w:sz w:val="32"/>
          <w:szCs w:val="32"/>
          <w:highlight w:val="none"/>
          <w:lang w:val="en-US" w:eastAsia="zh-CN"/>
        </w:rPr>
        <w:t>用地</w:t>
      </w:r>
      <w:r>
        <w:rPr>
          <w:rFonts w:hint="eastAsia" w:ascii="仿宋" w:hAnsi="仿宋" w:eastAsia="仿宋" w:cs="仿宋"/>
          <w:bCs/>
          <w:sz w:val="32"/>
          <w:szCs w:val="32"/>
          <w:highlight w:val="none"/>
        </w:rPr>
        <w:t>转用涉及费用，</w:t>
      </w:r>
      <w:r>
        <w:rPr>
          <w:rFonts w:hint="eastAsia" w:ascii="仿宋" w:hAnsi="仿宋" w:eastAsia="仿宋" w:cs="仿宋"/>
          <w:bCs/>
          <w:sz w:val="32"/>
          <w:szCs w:val="32"/>
          <w:highlight w:val="none"/>
          <w:lang w:val="en-US" w:eastAsia="zh-CN"/>
        </w:rPr>
        <w:t>包括</w:t>
      </w:r>
      <w:r>
        <w:rPr>
          <w:rFonts w:hint="eastAsia" w:ascii="仿宋" w:hAnsi="仿宋" w:eastAsia="仿宋" w:cs="仿宋"/>
          <w:bCs/>
          <w:sz w:val="32"/>
          <w:szCs w:val="32"/>
          <w:highlight w:val="none"/>
        </w:rPr>
        <w:t>留用地指标、新增建设用地指标费、新增建设用地有偿使用费、耕地占用税、耕地开垦费、森林植被恢复费、</w:t>
      </w:r>
      <w:r>
        <w:rPr>
          <w:rFonts w:hint="eastAsia" w:ascii="仿宋" w:hAnsi="仿宋" w:eastAsia="仿宋" w:cs="仿宋"/>
          <w:bCs/>
          <w:sz w:val="32"/>
          <w:szCs w:val="32"/>
          <w:highlight w:val="none"/>
          <w:lang w:val="en-US" w:eastAsia="zh-CN"/>
        </w:rPr>
        <w:t>一般</w:t>
      </w:r>
      <w:r>
        <w:rPr>
          <w:rFonts w:hint="eastAsia" w:ascii="仿宋" w:hAnsi="仿宋" w:eastAsia="仿宋" w:cs="仿宋"/>
          <w:bCs/>
          <w:sz w:val="32"/>
          <w:szCs w:val="32"/>
          <w:highlight w:val="none"/>
        </w:rPr>
        <w:t>耕地指标和水田指标</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按照入市地块原农用地的地类</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依据</w:t>
      </w:r>
      <w:r>
        <w:rPr>
          <w:rFonts w:hint="eastAsia" w:ascii="仿宋" w:hAnsi="仿宋" w:eastAsia="仿宋" w:cs="仿宋"/>
          <w:bCs/>
          <w:sz w:val="32"/>
          <w:szCs w:val="32"/>
          <w:highlight w:val="none"/>
        </w:rPr>
        <w:t>相关政策</w:t>
      </w:r>
      <w:r>
        <w:rPr>
          <w:rFonts w:hint="eastAsia" w:ascii="仿宋" w:hAnsi="仿宋" w:eastAsia="仿宋" w:cs="仿宋"/>
          <w:bCs/>
          <w:sz w:val="32"/>
          <w:szCs w:val="32"/>
          <w:highlight w:val="none"/>
          <w:lang w:val="en-US" w:eastAsia="zh-CN"/>
        </w:rPr>
        <w:t>文件的标准</w:t>
      </w:r>
      <w:r>
        <w:rPr>
          <w:rFonts w:hint="eastAsia" w:ascii="仿宋" w:hAnsi="仿宋" w:eastAsia="仿宋" w:cs="仿宋"/>
          <w:bCs/>
          <w:sz w:val="32"/>
          <w:szCs w:val="32"/>
          <w:highlight w:val="none"/>
        </w:rPr>
        <w:t>核算。</w:t>
      </w:r>
    </w:p>
    <w:p>
      <w:pPr>
        <w:pStyle w:val="35"/>
        <w:snapToGrid w:val="0"/>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①.留用地指标，</w:t>
      </w:r>
      <w:r>
        <w:rPr>
          <w:rFonts w:hint="eastAsia" w:ascii="仿宋" w:hAnsi="仿宋" w:eastAsia="仿宋" w:cs="仿宋"/>
          <w:bCs/>
          <w:sz w:val="32"/>
          <w:szCs w:val="32"/>
          <w:highlight w:val="none"/>
        </w:rPr>
        <w:t>按照</w:t>
      </w:r>
      <w:r>
        <w:rPr>
          <w:rFonts w:hint="eastAsia" w:ascii="仿宋" w:hAnsi="仿宋" w:eastAsia="仿宋" w:cs="仿宋"/>
          <w:bCs/>
          <w:sz w:val="32"/>
          <w:szCs w:val="32"/>
          <w:highlight w:val="none"/>
          <w:lang w:val="en-US" w:eastAsia="zh-CN"/>
        </w:rPr>
        <w:t>货币补偿费的标准，以取得成交确认书时点</w:t>
      </w:r>
      <w:r>
        <w:rPr>
          <w:rFonts w:hint="eastAsia" w:ascii="仿宋" w:hAnsi="仿宋" w:eastAsia="仿宋" w:cs="仿宋"/>
          <w:bCs/>
          <w:sz w:val="32"/>
          <w:szCs w:val="32"/>
          <w:highlight w:val="none"/>
        </w:rPr>
        <w:t>入市土地所在</w:t>
      </w:r>
      <w:r>
        <w:rPr>
          <w:rFonts w:hint="default" w:ascii="仿宋" w:hAnsi="仿宋" w:eastAsia="仿宋" w:cs="仿宋"/>
          <w:bCs/>
          <w:sz w:val="32"/>
          <w:szCs w:val="32"/>
          <w:highlight w:val="none"/>
          <w:lang w:val="en-US"/>
        </w:rPr>
        <w:t>镇（街）</w:t>
      </w:r>
      <w:r>
        <w:rPr>
          <w:rFonts w:hint="eastAsia" w:ascii="仿宋" w:hAnsi="仿宋" w:eastAsia="仿宋" w:cs="仿宋"/>
          <w:bCs/>
          <w:sz w:val="32"/>
          <w:szCs w:val="32"/>
          <w:highlight w:val="none"/>
        </w:rPr>
        <w:t>工业用地级别基准地价的2倍核算。</w:t>
      </w:r>
    </w:p>
    <w:p>
      <w:pPr>
        <w:pStyle w:val="35"/>
        <w:snapToGrid w:val="0"/>
        <w:spacing w:line="560" w:lineRule="exact"/>
        <w:ind w:firstLine="640" w:firstLineChars="20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val="en-US" w:eastAsia="zh-CN"/>
        </w:rPr>
        <w:t>②.</w:t>
      </w:r>
      <w:r>
        <w:rPr>
          <w:rFonts w:hint="eastAsia" w:ascii="仿宋" w:hAnsi="仿宋" w:eastAsia="仿宋" w:cs="仿宋"/>
          <w:bCs/>
          <w:sz w:val="32"/>
          <w:szCs w:val="32"/>
          <w:highlight w:val="none"/>
        </w:rPr>
        <w:t>新增建设用地指标费</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参</w:t>
      </w:r>
      <w:r>
        <w:rPr>
          <w:rFonts w:hint="eastAsia" w:ascii="仿宋" w:hAnsi="仿宋" w:eastAsia="仿宋" w:cs="仿宋"/>
          <w:bCs/>
          <w:sz w:val="32"/>
          <w:szCs w:val="32"/>
          <w:highlight w:val="none"/>
        </w:rPr>
        <w:t>照《广东省城乡建设用地增减挂钩节余指标跨省域调剂资金收支管理办法》（粤财农〔2019〕19号）</w:t>
      </w:r>
      <w:r>
        <w:rPr>
          <w:rFonts w:hint="eastAsia" w:ascii="仿宋" w:hAnsi="仿宋" w:eastAsia="仿宋" w:cs="仿宋"/>
          <w:bCs/>
          <w:sz w:val="32"/>
          <w:szCs w:val="32"/>
          <w:highlight w:val="none"/>
          <w:lang w:val="en-US" w:eastAsia="zh-CN"/>
        </w:rPr>
        <w:t>标准</w:t>
      </w:r>
      <w:r>
        <w:rPr>
          <w:rFonts w:hint="eastAsia" w:ascii="仿宋" w:hAnsi="仿宋" w:eastAsia="仿宋" w:cs="仿宋"/>
          <w:bCs/>
          <w:sz w:val="32"/>
          <w:szCs w:val="32"/>
          <w:highlight w:val="none"/>
        </w:rPr>
        <w:t>核算</w:t>
      </w:r>
      <w:r>
        <w:rPr>
          <w:rFonts w:hint="eastAsia" w:ascii="仿宋" w:hAnsi="仿宋" w:eastAsia="仿宋" w:cs="仿宋"/>
          <w:bCs/>
          <w:sz w:val="32"/>
          <w:szCs w:val="32"/>
          <w:highlight w:val="none"/>
          <w:lang w:eastAsia="zh-CN"/>
        </w:rPr>
        <w:t>。</w:t>
      </w:r>
    </w:p>
    <w:p>
      <w:pPr>
        <w:pStyle w:val="35"/>
        <w:snapToGrid w:val="0"/>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③.</w:t>
      </w:r>
      <w:r>
        <w:rPr>
          <w:rFonts w:hint="eastAsia" w:ascii="仿宋" w:hAnsi="仿宋" w:eastAsia="仿宋" w:cs="仿宋"/>
          <w:bCs/>
          <w:sz w:val="32"/>
          <w:szCs w:val="32"/>
          <w:highlight w:val="none"/>
        </w:rPr>
        <w:t>新增建设用地有偿使用费</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参照《财政部、国土资源部、中国人民银行 关于调整新增建设用地土地有偿使用费政策等问题的通知》（财综</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2006</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48号）标准核算。</w:t>
      </w:r>
    </w:p>
    <w:p>
      <w:pPr>
        <w:pStyle w:val="35"/>
        <w:snapToGrid w:val="0"/>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④.耕地占用税，参照《关于加强耕地占用税管理工作的通知》（粤税发〔2021〕19号）、《广东省人民代表大会常务委员会关于广东省耕地占用税适用税额的决定》（2019年广东省第十三届人民代表大会常务委员会公告第41号）标准核算。</w:t>
      </w:r>
    </w:p>
    <w:p>
      <w:pPr>
        <w:pStyle w:val="35"/>
        <w:snapToGrid w:val="0"/>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⑤.耕地开垦费，参照</w:t>
      </w:r>
      <w:r>
        <w:rPr>
          <w:rFonts w:hint="eastAsia" w:ascii="仿宋" w:hAnsi="仿宋" w:eastAsia="仿宋" w:cs="仿宋"/>
          <w:bCs/>
          <w:sz w:val="32"/>
          <w:szCs w:val="32"/>
          <w:highlight w:val="none"/>
        </w:rPr>
        <w:t>《广东省非农业建设补充耕地管理办法》（广东省政府令146号）</w:t>
      </w:r>
      <w:r>
        <w:rPr>
          <w:rFonts w:hint="eastAsia" w:ascii="仿宋" w:hAnsi="仿宋" w:eastAsia="仿宋" w:cs="仿宋"/>
          <w:bCs/>
          <w:sz w:val="32"/>
          <w:szCs w:val="32"/>
          <w:highlight w:val="none"/>
          <w:lang w:val="en-US" w:eastAsia="zh-CN"/>
        </w:rPr>
        <w:t>标准核算。</w:t>
      </w:r>
    </w:p>
    <w:p>
      <w:pPr>
        <w:pStyle w:val="35"/>
        <w:snapToGrid w:val="0"/>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⑥.</w:t>
      </w:r>
      <w:r>
        <w:rPr>
          <w:rFonts w:hint="default" w:ascii="仿宋" w:hAnsi="仿宋" w:eastAsia="仿宋" w:cs="仿宋"/>
          <w:bCs/>
          <w:sz w:val="32"/>
          <w:szCs w:val="32"/>
          <w:highlight w:val="none"/>
          <w:lang w:val="en-US" w:eastAsia="zh-CN"/>
        </w:rPr>
        <w:t>森林植被恢复费</w:t>
      </w:r>
      <w:r>
        <w:rPr>
          <w:rFonts w:hint="eastAsia" w:ascii="仿宋" w:hAnsi="仿宋" w:eastAsia="仿宋" w:cs="仿宋"/>
          <w:bCs/>
          <w:sz w:val="32"/>
          <w:szCs w:val="32"/>
          <w:highlight w:val="none"/>
          <w:lang w:val="en-US" w:eastAsia="zh-CN"/>
        </w:rPr>
        <w:t>，参照《关于调整森林植被恢复费征收标准引导集约利用林地的通知》（财税（2015）122号）、《关于调整森林植被恢复费征收标准的通知》（粤财农〔2017〕54号）标准核算。</w:t>
      </w:r>
    </w:p>
    <w:p>
      <w:pPr>
        <w:pStyle w:val="35"/>
        <w:snapToGrid w:val="0"/>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⑦.一般</w:t>
      </w:r>
      <w:r>
        <w:rPr>
          <w:rFonts w:hint="default" w:ascii="仿宋" w:hAnsi="仿宋" w:eastAsia="仿宋" w:cs="仿宋"/>
          <w:bCs/>
          <w:sz w:val="32"/>
          <w:szCs w:val="32"/>
          <w:highlight w:val="none"/>
          <w:lang w:val="en-US" w:eastAsia="zh-CN"/>
        </w:rPr>
        <w:t>耕地指标</w:t>
      </w:r>
      <w:r>
        <w:rPr>
          <w:rFonts w:hint="eastAsia" w:ascii="仿宋" w:hAnsi="仿宋" w:eastAsia="仿宋" w:cs="仿宋"/>
          <w:bCs/>
          <w:sz w:val="32"/>
          <w:szCs w:val="32"/>
          <w:highlight w:val="none"/>
          <w:lang w:val="en-US" w:eastAsia="zh-CN"/>
        </w:rPr>
        <w:t>，</w:t>
      </w:r>
      <w:r>
        <w:rPr>
          <w:rFonts w:hint="eastAsia" w:ascii="仿宋" w:hAnsi="仿宋" w:eastAsia="仿宋" w:cs="仿宋"/>
          <w:bCs/>
          <w:sz w:val="32"/>
          <w:szCs w:val="32"/>
          <w:highlight w:val="none"/>
        </w:rPr>
        <w:t>参照</w:t>
      </w:r>
      <w:r>
        <w:rPr>
          <w:rFonts w:hint="default" w:ascii="仿宋" w:hAnsi="仿宋" w:eastAsia="仿宋" w:cs="仿宋"/>
          <w:bCs/>
          <w:sz w:val="32"/>
          <w:szCs w:val="32"/>
          <w:highlight w:val="none"/>
          <w:lang w:val="en-US" w:eastAsia="zh-CN"/>
        </w:rPr>
        <w:t>《广州市人民政府办公厅关于进一步加强和改进耕地保护、严格耕地用途管制的实施意见》（穗府办函〔2022〕92号）</w:t>
      </w:r>
      <w:r>
        <w:rPr>
          <w:rFonts w:hint="eastAsia" w:ascii="仿宋" w:hAnsi="仿宋" w:eastAsia="仿宋" w:cs="仿宋"/>
          <w:bCs/>
          <w:sz w:val="32"/>
          <w:szCs w:val="32"/>
          <w:highlight w:val="none"/>
          <w:lang w:val="en-US" w:eastAsia="zh-CN"/>
        </w:rPr>
        <w:t>，以广东省补充耕地指标交易网上季度平均数核算。</w:t>
      </w:r>
    </w:p>
    <w:p>
      <w:pPr>
        <w:pStyle w:val="35"/>
        <w:snapToGrid w:val="0"/>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⑧.</w:t>
      </w:r>
      <w:r>
        <w:rPr>
          <w:rFonts w:hint="default" w:ascii="仿宋" w:hAnsi="仿宋" w:eastAsia="仿宋" w:cs="仿宋"/>
          <w:bCs/>
          <w:sz w:val="32"/>
          <w:szCs w:val="32"/>
          <w:highlight w:val="none"/>
          <w:lang w:val="en-US" w:eastAsia="zh-CN"/>
        </w:rPr>
        <w:t>水田指标</w:t>
      </w:r>
      <w:r>
        <w:rPr>
          <w:rFonts w:hint="eastAsia" w:ascii="仿宋" w:hAnsi="仿宋" w:eastAsia="仿宋" w:cs="仿宋"/>
          <w:bCs/>
          <w:sz w:val="32"/>
          <w:szCs w:val="32"/>
          <w:highlight w:val="none"/>
          <w:lang w:val="en-US" w:eastAsia="zh-CN"/>
        </w:rPr>
        <w:t>，参照</w:t>
      </w:r>
      <w:r>
        <w:rPr>
          <w:rFonts w:hint="default" w:ascii="仿宋" w:hAnsi="仿宋" w:eastAsia="仿宋" w:cs="仿宋"/>
          <w:bCs/>
          <w:sz w:val="32"/>
          <w:szCs w:val="32"/>
          <w:highlight w:val="none"/>
          <w:lang w:val="en-US" w:eastAsia="zh-CN"/>
        </w:rPr>
        <w:t>《广州市人民政府办公厅关于进一步加强和改进耕地保护、严格耕地用途管制的实施意见》（穗府办函〔2022〕92号）</w:t>
      </w:r>
      <w:r>
        <w:rPr>
          <w:rFonts w:hint="eastAsia" w:ascii="仿宋" w:hAnsi="仿宋" w:eastAsia="仿宋" w:cs="仿宋"/>
          <w:bCs/>
          <w:sz w:val="32"/>
          <w:szCs w:val="32"/>
          <w:highlight w:val="none"/>
          <w:lang w:val="en-US" w:eastAsia="zh-CN"/>
        </w:rPr>
        <w:t>，以广东省补充耕地指标交易网上季度平均数核算。</w:t>
      </w:r>
    </w:p>
    <w:p>
      <w:pPr>
        <w:pStyle w:val="35"/>
        <w:snapToGrid w:val="0"/>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rPr>
        <w:t>在试行期间，若国家、省、市出台相关政策文件与本</w:t>
      </w:r>
      <w:r>
        <w:rPr>
          <w:rFonts w:hint="eastAsia" w:ascii="仿宋" w:hAnsi="仿宋" w:eastAsia="仿宋" w:cs="仿宋"/>
          <w:bCs/>
          <w:sz w:val="32"/>
          <w:szCs w:val="32"/>
          <w:highlight w:val="none"/>
          <w:lang w:val="en-US" w:eastAsia="zh-CN"/>
        </w:rPr>
        <w:t>条规定</w:t>
      </w:r>
      <w:r>
        <w:rPr>
          <w:rFonts w:hint="eastAsia" w:ascii="仿宋" w:hAnsi="仿宋" w:eastAsia="仿宋" w:cs="仿宋"/>
          <w:bCs/>
          <w:sz w:val="32"/>
          <w:szCs w:val="32"/>
          <w:highlight w:val="none"/>
        </w:rPr>
        <w:t>不一致的，以国家、省、市的政策文件为准。</w:t>
      </w:r>
    </w:p>
    <w:p>
      <w:pPr>
        <w:pStyle w:val="35"/>
        <w:snapToGrid w:val="0"/>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土地开发支出，包括但不限于</w:t>
      </w:r>
      <w:r>
        <w:rPr>
          <w:rFonts w:hint="eastAsia" w:ascii="仿宋" w:hAnsi="仿宋" w:eastAsia="仿宋" w:cs="仿宋"/>
          <w:bCs/>
          <w:sz w:val="32"/>
          <w:szCs w:val="32"/>
          <w:highlight w:val="none"/>
          <w:lang w:val="en-US" w:eastAsia="zh-CN"/>
        </w:rPr>
        <w:t>涉及测量、评估、七通</w:t>
      </w:r>
      <w:r>
        <w:rPr>
          <w:rFonts w:hint="eastAsia" w:ascii="仿宋" w:hAnsi="仿宋" w:eastAsia="仿宋" w:cs="仿宋"/>
          <w:bCs/>
          <w:sz w:val="32"/>
          <w:szCs w:val="32"/>
          <w:highlight w:val="none"/>
        </w:rPr>
        <w:t>以及场地平整</w:t>
      </w:r>
      <w:r>
        <w:rPr>
          <w:rFonts w:hint="eastAsia" w:ascii="仿宋" w:hAnsi="仿宋" w:eastAsia="仿宋" w:cs="仿宋"/>
          <w:bCs/>
          <w:sz w:val="32"/>
          <w:szCs w:val="32"/>
          <w:highlight w:val="none"/>
          <w:lang w:val="en-US" w:eastAsia="zh-CN"/>
        </w:rPr>
        <w:t>等</w:t>
      </w:r>
      <w:r>
        <w:rPr>
          <w:rFonts w:hint="eastAsia" w:ascii="仿宋" w:hAnsi="仿宋" w:eastAsia="仿宋" w:cs="仿宋"/>
          <w:bCs/>
          <w:sz w:val="32"/>
          <w:szCs w:val="32"/>
          <w:highlight w:val="none"/>
        </w:rPr>
        <w:t>开发支出，</w:t>
      </w:r>
      <w:r>
        <w:rPr>
          <w:rFonts w:hint="eastAsia" w:ascii="仿宋" w:hAnsi="仿宋" w:eastAsia="仿宋" w:cs="仿宋"/>
          <w:bCs/>
          <w:sz w:val="32"/>
          <w:szCs w:val="32"/>
          <w:highlight w:val="none"/>
          <w:lang w:val="en-US" w:eastAsia="zh-CN"/>
        </w:rPr>
        <w:t>可</w:t>
      </w:r>
      <w:r>
        <w:rPr>
          <w:rFonts w:hint="eastAsia" w:ascii="仿宋" w:hAnsi="仿宋" w:eastAsia="仿宋" w:cs="仿宋"/>
          <w:bCs/>
          <w:sz w:val="32"/>
          <w:szCs w:val="32"/>
          <w:highlight w:val="none"/>
        </w:rPr>
        <w:t>依据合法有效的财务票据按照实际发生额</w:t>
      </w:r>
      <w:r>
        <w:rPr>
          <w:rFonts w:hint="eastAsia" w:ascii="仿宋" w:hAnsi="仿宋" w:eastAsia="仿宋" w:cs="仿宋"/>
          <w:bCs/>
          <w:sz w:val="32"/>
          <w:szCs w:val="32"/>
          <w:highlight w:val="none"/>
          <w:lang w:val="en-US" w:eastAsia="zh-CN"/>
        </w:rPr>
        <w:t>核算，或根据土地现状按相关评估规定核算</w:t>
      </w:r>
      <w:r>
        <w:rPr>
          <w:rFonts w:hint="eastAsia" w:ascii="仿宋" w:hAnsi="仿宋" w:eastAsia="仿宋" w:cs="仿宋"/>
          <w:bCs/>
          <w:sz w:val="32"/>
          <w:szCs w:val="32"/>
          <w:highlight w:val="none"/>
        </w:rPr>
        <w:t>；</w:t>
      </w:r>
    </w:p>
    <w:p>
      <w:pPr>
        <w:pStyle w:val="35"/>
        <w:snapToGrid w:val="0"/>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（三）</w:t>
      </w:r>
      <w:r>
        <w:rPr>
          <w:rFonts w:hint="eastAsia" w:ascii="仿宋" w:hAnsi="仿宋" w:eastAsia="仿宋" w:cs="仿宋"/>
          <w:bCs/>
          <w:sz w:val="32"/>
          <w:szCs w:val="32"/>
          <w:highlight w:val="none"/>
        </w:rPr>
        <w:t>其他有凭证或证明材料的入市前期合理费用，包括但不限于</w:t>
      </w:r>
      <w:r>
        <w:rPr>
          <w:rFonts w:hint="eastAsia" w:ascii="仿宋" w:hAnsi="仿宋" w:eastAsia="仿宋" w:cs="仿宋"/>
          <w:bCs/>
          <w:sz w:val="32"/>
          <w:szCs w:val="32"/>
          <w:highlight w:val="none"/>
          <w:lang w:val="en-US" w:eastAsia="zh-CN"/>
        </w:rPr>
        <w:t>入市工作经费、</w:t>
      </w:r>
      <w:r>
        <w:rPr>
          <w:rFonts w:hint="eastAsia" w:ascii="仿宋" w:hAnsi="仿宋" w:eastAsia="仿宋" w:cs="仿宋"/>
          <w:bCs/>
          <w:sz w:val="32"/>
          <w:szCs w:val="32"/>
          <w:highlight w:val="none"/>
        </w:rPr>
        <w:t>由村集体依法缴纳的相关税费及其他有正式凭证或证明材料的必要开支等费用，依据合法有效的财务票据，按照实际发生</w:t>
      </w:r>
      <w:r>
        <w:rPr>
          <w:rFonts w:hint="eastAsia" w:ascii="仿宋" w:hAnsi="仿宋" w:eastAsia="仿宋" w:cs="仿宋"/>
          <w:bCs/>
          <w:sz w:val="32"/>
          <w:szCs w:val="32"/>
          <w:highlight w:val="none"/>
          <w:lang w:val="en-US" w:eastAsia="zh-CN"/>
        </w:rPr>
        <w:t>额核算</w:t>
      </w:r>
      <w:r>
        <w:rPr>
          <w:rFonts w:hint="eastAsia" w:ascii="仿宋" w:hAnsi="仿宋" w:eastAsia="仿宋" w:cs="仿宋"/>
          <w:bCs/>
          <w:sz w:val="32"/>
          <w:szCs w:val="32"/>
          <w:highlight w:val="none"/>
        </w:rPr>
        <w:t>。</w:t>
      </w:r>
    </w:p>
    <w:p>
      <w:pPr>
        <w:pStyle w:val="41"/>
        <w:snapToGrid w:val="0"/>
        <w:spacing w:line="560" w:lineRule="exact"/>
        <w:ind w:firstLine="480" w:firstLineChars="200"/>
        <w:rPr>
          <w:rFonts w:hint="eastAsia" w:ascii="楷体_GB2312" w:eastAsia="楷体_GB2312" w:cs="Times New Roman"/>
          <w:bCs/>
          <w:sz w:val="24"/>
          <w:highlight w:val="none"/>
          <w:lang w:val="en-US" w:eastAsia="zh-CN"/>
        </w:rPr>
      </w:pPr>
    </w:p>
    <w:p>
      <w:pPr>
        <w:pStyle w:val="35"/>
        <w:snapToGrid w:val="0"/>
        <w:spacing w:line="560" w:lineRule="exact"/>
        <w:ind w:firstLine="643" w:firstLineChars="200"/>
        <w:outlineLvl w:val="1"/>
        <w:rPr>
          <w:rFonts w:hint="eastAsia" w:ascii="仿宋" w:hAnsi="仿宋" w:eastAsia="仿宋" w:cs="仿宋"/>
          <w:bCs/>
          <w:sz w:val="32"/>
          <w:szCs w:val="32"/>
          <w:highlight w:val="none"/>
        </w:rPr>
      </w:pPr>
      <w:bookmarkStart w:id="1" w:name="_Hlk172053259"/>
      <w:r>
        <w:rPr>
          <w:rFonts w:hint="eastAsia" w:ascii="仿宋" w:hAnsi="仿宋" w:eastAsia="仿宋" w:cs="仿宋"/>
          <w:b/>
          <w:sz w:val="32"/>
          <w:szCs w:val="32"/>
          <w:highlight w:val="none"/>
        </w:rPr>
        <w:t>第八条</w:t>
      </w:r>
      <w:r>
        <w:rPr>
          <w:rFonts w:hint="eastAsia" w:ascii="仿宋" w:hAnsi="仿宋" w:eastAsia="仿宋" w:cs="仿宋"/>
          <w:bCs/>
          <w:sz w:val="32"/>
          <w:szCs w:val="32"/>
          <w:highlight w:val="none"/>
        </w:rPr>
        <w:t>【再转让成本】以转让、转租等方式再转让农村集体经营性建设用地的，</w:t>
      </w:r>
      <w:r>
        <w:rPr>
          <w:rFonts w:hint="eastAsia" w:ascii="仿宋" w:hAnsi="仿宋" w:eastAsia="仿宋" w:cs="仿宋"/>
          <w:bCs/>
          <w:sz w:val="32"/>
          <w:szCs w:val="32"/>
          <w:highlight w:val="none"/>
          <w:lang w:val="en-US" w:eastAsia="zh-CN"/>
        </w:rPr>
        <w:t>再转让</w:t>
      </w:r>
      <w:r>
        <w:rPr>
          <w:rFonts w:hint="eastAsia" w:ascii="仿宋" w:hAnsi="仿宋" w:eastAsia="仿宋" w:cs="仿宋"/>
          <w:bCs/>
          <w:sz w:val="32"/>
          <w:szCs w:val="32"/>
          <w:highlight w:val="none"/>
        </w:rPr>
        <w:t>成本项目包括：</w:t>
      </w:r>
    </w:p>
    <w:p>
      <w:pPr>
        <w:pStyle w:val="35"/>
        <w:snapToGrid w:val="0"/>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（一）取得土地所支付的</w:t>
      </w:r>
      <w:r>
        <w:rPr>
          <w:rFonts w:hint="eastAsia" w:ascii="仿宋" w:hAnsi="仿宋" w:eastAsia="仿宋" w:cs="仿宋"/>
          <w:bCs/>
          <w:sz w:val="32"/>
          <w:szCs w:val="32"/>
          <w:highlight w:val="none"/>
          <w:lang w:val="en-US" w:eastAsia="zh-CN"/>
        </w:rPr>
        <w:t>用地价款</w:t>
      </w:r>
      <w:r>
        <w:rPr>
          <w:rFonts w:hint="eastAsia" w:ascii="仿宋" w:hAnsi="仿宋" w:eastAsia="仿宋" w:cs="仿宋"/>
          <w:bCs/>
          <w:sz w:val="32"/>
          <w:szCs w:val="32"/>
          <w:highlight w:val="none"/>
        </w:rPr>
        <w:t>或</w:t>
      </w:r>
      <w:r>
        <w:rPr>
          <w:rFonts w:hint="eastAsia" w:ascii="仿宋" w:hAnsi="仿宋" w:eastAsia="仿宋" w:cs="仿宋"/>
          <w:bCs/>
          <w:sz w:val="32"/>
          <w:szCs w:val="32"/>
          <w:highlight w:val="none"/>
          <w:lang w:val="en-US" w:eastAsia="zh-CN"/>
        </w:rPr>
        <w:t>租金</w:t>
      </w:r>
      <w:r>
        <w:rPr>
          <w:rFonts w:hint="eastAsia" w:ascii="仿宋" w:hAnsi="仿宋" w:eastAsia="仿宋" w:cs="仿宋"/>
          <w:bCs/>
          <w:sz w:val="32"/>
          <w:szCs w:val="32"/>
          <w:highlight w:val="none"/>
        </w:rPr>
        <w:t>；</w:t>
      </w:r>
    </w:p>
    <w:p>
      <w:pPr>
        <w:pStyle w:val="35"/>
        <w:snapToGrid w:val="0"/>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（二）开发土地的成本与费用，包括但不限于</w:t>
      </w:r>
      <w:r>
        <w:rPr>
          <w:rFonts w:hint="eastAsia" w:ascii="仿宋" w:hAnsi="仿宋" w:eastAsia="仿宋" w:cs="仿宋"/>
          <w:bCs/>
          <w:sz w:val="32"/>
          <w:szCs w:val="32"/>
          <w:highlight w:val="none"/>
          <w:lang w:val="en-US" w:eastAsia="zh-CN"/>
        </w:rPr>
        <w:t>涉及测量、评估、七通</w:t>
      </w:r>
      <w:r>
        <w:rPr>
          <w:rFonts w:hint="eastAsia" w:ascii="仿宋" w:hAnsi="仿宋" w:eastAsia="仿宋" w:cs="仿宋"/>
          <w:bCs/>
          <w:sz w:val="32"/>
          <w:szCs w:val="32"/>
          <w:highlight w:val="none"/>
        </w:rPr>
        <w:t>以及场地平整等</w:t>
      </w:r>
      <w:r>
        <w:rPr>
          <w:rFonts w:hint="eastAsia" w:ascii="仿宋" w:hAnsi="仿宋" w:eastAsia="仿宋" w:cs="仿宋"/>
          <w:bCs/>
          <w:sz w:val="32"/>
          <w:szCs w:val="32"/>
          <w:highlight w:val="none"/>
          <w:lang w:val="en-US" w:eastAsia="zh-CN"/>
        </w:rPr>
        <w:t>开发</w:t>
      </w:r>
      <w:r>
        <w:rPr>
          <w:rFonts w:hint="eastAsia" w:ascii="仿宋" w:hAnsi="仿宋" w:eastAsia="仿宋" w:cs="仿宋"/>
          <w:bCs/>
          <w:sz w:val="32"/>
          <w:szCs w:val="32"/>
          <w:highlight w:val="none"/>
        </w:rPr>
        <w:t>支出；</w:t>
      </w:r>
    </w:p>
    <w:p>
      <w:pPr>
        <w:pStyle w:val="35"/>
        <w:snapToGrid w:val="0"/>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（三）新建房屋及配套设施的成本与费用，或者既有老旧房屋及其他地上附着物的评估价格；</w:t>
      </w:r>
    </w:p>
    <w:p>
      <w:pPr>
        <w:pStyle w:val="35"/>
        <w:snapToGrid w:val="0"/>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（四）在再转让过程中发生的与转让房地产有关的法定税费；</w:t>
      </w:r>
    </w:p>
    <w:p>
      <w:pPr>
        <w:pStyle w:val="41"/>
        <w:snapToGrid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bCs/>
          <w:sz w:val="32"/>
          <w:szCs w:val="32"/>
          <w:highlight w:val="none"/>
        </w:rPr>
        <w:t>（五）财政部规定的其他纳入成本核算的扣除项目。</w:t>
      </w:r>
      <w:bookmarkEnd w:id="1"/>
    </w:p>
    <w:p>
      <w:pPr>
        <w:pStyle w:val="41"/>
        <w:snapToGrid w:val="0"/>
        <w:spacing w:line="560" w:lineRule="exact"/>
        <w:ind w:firstLine="480" w:firstLineChars="200"/>
        <w:rPr>
          <w:rFonts w:hint="eastAsia" w:ascii="楷体_GB2312" w:eastAsia="楷体_GB2312" w:cs="Times New Roman"/>
          <w:sz w:val="24"/>
          <w:highlight w:val="none"/>
        </w:rPr>
      </w:pPr>
    </w:p>
    <w:p>
      <w:pPr>
        <w:pStyle w:val="35"/>
        <w:snapToGrid w:val="0"/>
        <w:spacing w:line="560" w:lineRule="exact"/>
        <w:ind w:firstLine="643" w:firstLineChars="200"/>
        <w:outlineLvl w:val="1"/>
        <w:rPr>
          <w:rFonts w:hint="eastAsia" w:ascii="仿宋" w:hAnsi="仿宋" w:eastAsia="仿宋" w:cs="仿宋"/>
          <w:bCs/>
          <w:sz w:val="32"/>
          <w:szCs w:val="32"/>
          <w:highlight w:val="none"/>
          <w:lang w:val="en-US" w:eastAsia="zh-CN"/>
        </w:rPr>
      </w:pPr>
      <w:r>
        <w:rPr>
          <w:rFonts w:hint="eastAsia" w:ascii="仿宋" w:hAnsi="仿宋" w:eastAsia="仿宋" w:cs="仿宋"/>
          <w:b/>
          <w:sz w:val="32"/>
          <w:szCs w:val="32"/>
          <w:highlight w:val="none"/>
        </w:rPr>
        <w:t>第</w:t>
      </w:r>
      <w:r>
        <w:rPr>
          <w:rFonts w:hint="eastAsia" w:ascii="仿宋" w:hAnsi="仿宋" w:eastAsia="仿宋" w:cs="仿宋"/>
          <w:b/>
          <w:sz w:val="32"/>
          <w:szCs w:val="32"/>
          <w:highlight w:val="none"/>
          <w:lang w:val="en-US" w:eastAsia="zh-CN"/>
        </w:rPr>
        <w:t>九</w:t>
      </w:r>
      <w:r>
        <w:rPr>
          <w:rFonts w:hint="eastAsia" w:ascii="仿宋" w:hAnsi="仿宋" w:eastAsia="仿宋" w:cs="仿宋"/>
          <w:b/>
          <w:sz w:val="32"/>
          <w:szCs w:val="32"/>
          <w:highlight w:val="none"/>
        </w:rPr>
        <w:t>条</w:t>
      </w:r>
      <w:r>
        <w:rPr>
          <w:rFonts w:hint="eastAsia" w:ascii="仿宋" w:hAnsi="仿宋" w:eastAsia="仿宋" w:cs="仿宋"/>
          <w:bCs/>
          <w:sz w:val="32"/>
          <w:szCs w:val="32"/>
          <w:highlight w:val="none"/>
        </w:rPr>
        <w:t>【成本核算】 调节金缴纳</w:t>
      </w:r>
      <w:r>
        <w:rPr>
          <w:rFonts w:hint="eastAsia" w:ascii="仿宋" w:hAnsi="仿宋" w:eastAsia="仿宋" w:cs="仿宋"/>
          <w:bCs/>
          <w:sz w:val="32"/>
          <w:szCs w:val="32"/>
          <w:highlight w:val="none"/>
          <w:lang w:val="en-US" w:eastAsia="zh-CN"/>
        </w:rPr>
        <w:t>义务人委托具有房地产估价资质的评估公司核算入市成本（再转让成本），并</w:t>
      </w:r>
      <w:r>
        <w:rPr>
          <w:rFonts w:hint="eastAsia" w:ascii="仿宋" w:hAnsi="仿宋" w:eastAsia="仿宋" w:cs="仿宋"/>
          <w:bCs/>
          <w:sz w:val="32"/>
          <w:szCs w:val="32"/>
          <w:highlight w:val="none"/>
        </w:rPr>
        <w:t>将所有涉及土地开发支出的合法有效财务票据提交至</w:t>
      </w:r>
      <w:r>
        <w:rPr>
          <w:rFonts w:hint="eastAsia" w:ascii="仿宋" w:hAnsi="仿宋" w:eastAsia="仿宋" w:cs="仿宋"/>
          <w:bCs/>
          <w:sz w:val="32"/>
          <w:szCs w:val="32"/>
          <w:highlight w:val="none"/>
          <w:lang w:val="en-US" w:eastAsia="zh-CN"/>
        </w:rPr>
        <w:t>受委托的</w:t>
      </w:r>
      <w:r>
        <w:rPr>
          <w:rFonts w:hint="eastAsia" w:ascii="仿宋" w:hAnsi="仿宋" w:eastAsia="仿宋" w:cs="仿宋"/>
          <w:bCs/>
          <w:sz w:val="32"/>
          <w:szCs w:val="32"/>
          <w:highlight w:val="none"/>
        </w:rPr>
        <w:t>评估公司</w:t>
      </w:r>
      <w:r>
        <w:rPr>
          <w:rFonts w:hint="eastAsia" w:ascii="仿宋" w:hAnsi="仿宋" w:eastAsia="仿宋" w:cs="仿宋"/>
          <w:bCs/>
          <w:sz w:val="32"/>
          <w:szCs w:val="32"/>
          <w:highlight w:val="none"/>
          <w:lang w:val="en-US" w:eastAsia="zh-CN"/>
        </w:rPr>
        <w:t>。</w:t>
      </w:r>
    </w:p>
    <w:p>
      <w:pPr>
        <w:pStyle w:val="35"/>
        <w:snapToGrid w:val="0"/>
        <w:spacing w:line="560" w:lineRule="exact"/>
        <w:ind w:firstLine="640" w:firstLineChars="200"/>
        <w:outlineLvl w:val="9"/>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受委托的评估公司</w:t>
      </w:r>
      <w:r>
        <w:rPr>
          <w:rFonts w:hint="eastAsia" w:ascii="仿宋" w:hAnsi="仿宋" w:eastAsia="仿宋" w:cs="仿宋"/>
          <w:bCs/>
          <w:sz w:val="32"/>
          <w:szCs w:val="32"/>
          <w:highlight w:val="none"/>
        </w:rPr>
        <w:t>依据本细则第七、八条</w:t>
      </w:r>
      <w:r>
        <w:rPr>
          <w:rFonts w:hint="eastAsia" w:ascii="仿宋" w:hAnsi="仿宋" w:eastAsia="仿宋" w:cs="仿宋"/>
          <w:bCs/>
          <w:sz w:val="32"/>
          <w:szCs w:val="32"/>
          <w:highlight w:val="none"/>
          <w:lang w:val="en-US" w:eastAsia="zh-CN"/>
        </w:rPr>
        <w:t>的规定，核算入市成本（再转让成本），并出具正式的成本核算报告</w:t>
      </w:r>
      <w:r>
        <w:rPr>
          <w:rFonts w:hint="eastAsia" w:ascii="仿宋" w:hAnsi="仿宋" w:eastAsia="仿宋" w:cs="仿宋"/>
          <w:bCs/>
          <w:sz w:val="32"/>
          <w:szCs w:val="32"/>
          <w:highlight w:val="none"/>
        </w:rPr>
        <w:t>。成本核算报告将作为</w:t>
      </w:r>
      <w:r>
        <w:rPr>
          <w:rFonts w:hint="eastAsia" w:ascii="仿宋" w:hAnsi="仿宋" w:eastAsia="仿宋" w:cs="仿宋"/>
          <w:bCs/>
          <w:sz w:val="32"/>
          <w:szCs w:val="32"/>
          <w:highlight w:val="none"/>
          <w:lang w:val="en-US" w:eastAsia="zh-CN"/>
        </w:rPr>
        <w:t>调节金征收的</w:t>
      </w:r>
      <w:r>
        <w:rPr>
          <w:rFonts w:hint="eastAsia" w:ascii="仿宋" w:hAnsi="仿宋" w:eastAsia="仿宋" w:cs="仿宋"/>
          <w:bCs/>
          <w:sz w:val="32"/>
          <w:szCs w:val="32"/>
          <w:highlight w:val="none"/>
        </w:rPr>
        <w:t>依据。</w:t>
      </w:r>
    </w:p>
    <w:p>
      <w:pPr>
        <w:pStyle w:val="35"/>
        <w:snapToGrid w:val="0"/>
        <w:spacing w:line="560" w:lineRule="exact"/>
        <w:ind w:firstLine="640" w:firstLineChars="200"/>
        <w:outlineLvl w:val="9"/>
        <w:rPr>
          <w:rFonts w:hint="default" w:ascii="仿宋" w:hAnsi="仿宋" w:eastAsia="仿宋" w:cs="仿宋"/>
          <w:bCs/>
          <w:sz w:val="32"/>
          <w:szCs w:val="32"/>
          <w:highlight w:val="none"/>
          <w:lang w:val="en-US" w:eastAsia="zh-CN"/>
        </w:rPr>
      </w:pPr>
      <w:r>
        <w:rPr>
          <w:rFonts w:hint="default" w:ascii="仿宋" w:hAnsi="仿宋" w:eastAsia="仿宋" w:cs="仿宋"/>
          <w:bCs/>
          <w:sz w:val="32"/>
          <w:szCs w:val="32"/>
          <w:highlight w:val="none"/>
          <w:lang w:val="en-US" w:eastAsia="zh-CN"/>
        </w:rPr>
        <w:t>如按本细则</w:t>
      </w:r>
      <w:r>
        <w:rPr>
          <w:rFonts w:hint="default" w:ascii="仿宋" w:hAnsi="仿宋" w:eastAsia="仿宋" w:cs="仿宋"/>
          <w:bCs/>
          <w:sz w:val="32"/>
          <w:szCs w:val="32"/>
          <w:highlight w:val="none"/>
        </w:rPr>
        <w:t>第七、八条的规定</w:t>
      </w:r>
      <w:r>
        <w:rPr>
          <w:rFonts w:hint="default" w:ascii="仿宋" w:hAnsi="仿宋" w:eastAsia="仿宋" w:cs="仿宋"/>
          <w:bCs/>
          <w:sz w:val="32"/>
          <w:szCs w:val="32"/>
          <w:highlight w:val="none"/>
          <w:lang w:val="en-US" w:eastAsia="zh-CN"/>
        </w:rPr>
        <w:t>规定难以核算的，由</w:t>
      </w:r>
      <w:r>
        <w:rPr>
          <w:rFonts w:hint="default" w:ascii="仿宋" w:hAnsi="仿宋" w:eastAsia="仿宋" w:cs="仿宋"/>
          <w:bCs/>
          <w:sz w:val="32"/>
          <w:szCs w:val="32"/>
          <w:highlight w:val="none"/>
        </w:rPr>
        <w:t>区规划和自然资源部门</w:t>
      </w:r>
      <w:r>
        <w:rPr>
          <w:rFonts w:hint="default" w:ascii="仿宋" w:hAnsi="仿宋" w:eastAsia="仿宋" w:cs="仿宋"/>
          <w:bCs/>
          <w:sz w:val="32"/>
          <w:szCs w:val="32"/>
          <w:highlight w:val="none"/>
          <w:lang w:val="en-US" w:eastAsia="zh-CN"/>
        </w:rPr>
        <w:t>给出指导意见。</w:t>
      </w:r>
    </w:p>
    <w:p>
      <w:pPr>
        <w:pStyle w:val="41"/>
        <w:snapToGrid w:val="0"/>
        <w:spacing w:line="560" w:lineRule="exact"/>
        <w:ind w:firstLine="480" w:firstLineChars="200"/>
        <w:rPr>
          <w:rFonts w:hint="eastAsia" w:ascii="楷体_GB2312" w:eastAsia="楷体_GB2312" w:cs="Times New Roman"/>
          <w:sz w:val="24"/>
          <w:highlight w:val="none"/>
        </w:rPr>
      </w:pP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szCs w:val="32"/>
          <w:highlight w:val="none"/>
        </w:rPr>
        <w:t>第十条</w:t>
      </w:r>
      <w:r>
        <w:rPr>
          <w:rFonts w:hint="eastAsia" w:ascii="仿宋" w:hAnsi="仿宋" w:eastAsia="仿宋" w:cs="仿宋"/>
          <w:bCs/>
          <w:szCs w:val="32"/>
          <w:highlight w:val="none"/>
        </w:rPr>
        <w:t>【入市增值收益】</w:t>
      </w:r>
      <w:r>
        <w:rPr>
          <w:rStyle w:val="16"/>
          <w:rFonts w:hint="eastAsia" w:ascii="仿宋" w:hAnsi="仿宋" w:eastAsia="仿宋" w:cs="仿宋"/>
          <w:szCs w:val="32"/>
          <w:highlight w:val="none"/>
        </w:rPr>
        <w:t xml:space="preserve"> </w:t>
      </w:r>
      <w:r>
        <w:rPr>
          <w:rFonts w:hint="eastAsia" w:ascii="仿宋" w:hAnsi="仿宋" w:eastAsia="仿宋" w:cs="仿宋"/>
          <w:bCs/>
          <w:szCs w:val="32"/>
          <w:highlight w:val="none"/>
        </w:rPr>
        <w:t>农村集体经营性建设用地取得的入市收入扣除经确认的入市成本后，剩余部分为入市增值收益。</w:t>
      </w:r>
    </w:p>
    <w:p>
      <w:pPr>
        <w:pStyle w:val="19"/>
        <w:snapToGrid w:val="0"/>
        <w:spacing w:line="560" w:lineRule="exact"/>
        <w:ind w:firstLine="480"/>
        <w:rPr>
          <w:rFonts w:ascii="Times New Roman" w:hAnsi="Times New Roman" w:cs="Times New Roman"/>
          <w:highlight w:val="none"/>
        </w:rPr>
      </w:pPr>
    </w:p>
    <w:p>
      <w:pPr>
        <w:numPr>
          <w:ilvl w:val="1"/>
          <w:numId w:val="0"/>
        </w:numPr>
        <w:snapToGrid w:val="0"/>
        <w:spacing w:line="560" w:lineRule="exact"/>
        <w:ind w:firstLine="643" w:firstLineChars="200"/>
        <w:outlineLvl w:val="1"/>
        <w:rPr>
          <w:rFonts w:hint="eastAsia" w:ascii="仿宋" w:hAnsi="仿宋" w:eastAsia="仿宋" w:cs="仿宋"/>
          <w:b/>
          <w:bCs/>
          <w:szCs w:val="32"/>
          <w:highlight w:val="none"/>
        </w:rPr>
      </w:pPr>
      <w:r>
        <w:rPr>
          <w:rFonts w:hint="eastAsia" w:ascii="仿宋" w:hAnsi="仿宋" w:eastAsia="仿宋" w:cs="仿宋"/>
          <w:b/>
          <w:bCs/>
          <w:szCs w:val="32"/>
          <w:highlight w:val="none"/>
        </w:rPr>
        <w:t>第十</w:t>
      </w:r>
      <w:r>
        <w:rPr>
          <w:rFonts w:hint="eastAsia" w:ascii="仿宋" w:hAnsi="仿宋" w:eastAsia="仿宋" w:cs="仿宋"/>
          <w:b/>
          <w:bCs/>
          <w:szCs w:val="32"/>
          <w:highlight w:val="none"/>
          <w:lang w:val="en-US" w:eastAsia="zh-CN"/>
        </w:rPr>
        <w:t>一</w:t>
      </w:r>
      <w:r>
        <w:rPr>
          <w:rFonts w:hint="eastAsia" w:ascii="仿宋" w:hAnsi="仿宋" w:eastAsia="仿宋" w:cs="仿宋"/>
          <w:b/>
          <w:bCs/>
          <w:szCs w:val="32"/>
          <w:highlight w:val="none"/>
        </w:rPr>
        <w:t>条</w:t>
      </w:r>
      <w:r>
        <w:rPr>
          <w:rFonts w:hint="eastAsia" w:ascii="仿宋" w:hAnsi="仿宋" w:eastAsia="仿宋" w:cs="仿宋"/>
          <w:bCs/>
          <w:szCs w:val="32"/>
          <w:highlight w:val="none"/>
        </w:rPr>
        <w:t>【再转让</w:t>
      </w:r>
      <w:r>
        <w:rPr>
          <w:rFonts w:hint="eastAsia" w:ascii="仿宋" w:hAnsi="仿宋" w:eastAsia="仿宋" w:cs="仿宋"/>
          <w:szCs w:val="32"/>
          <w:highlight w:val="none"/>
        </w:rPr>
        <w:t>增值收益</w:t>
      </w:r>
      <w:r>
        <w:rPr>
          <w:rFonts w:hint="eastAsia" w:ascii="仿宋" w:hAnsi="仿宋" w:eastAsia="仿宋" w:cs="仿宋"/>
          <w:bCs/>
          <w:szCs w:val="32"/>
          <w:highlight w:val="none"/>
        </w:rPr>
        <w:t>】 入市后的</w:t>
      </w:r>
      <w:r>
        <w:rPr>
          <w:rFonts w:hint="eastAsia" w:ascii="仿宋" w:hAnsi="仿宋" w:eastAsia="仿宋" w:cs="仿宋"/>
          <w:szCs w:val="32"/>
          <w:highlight w:val="none"/>
        </w:rPr>
        <w:t>农村集体经营性建设用地再转让所取得的再转让收入扣除再转让成本后，剩余部分为再转让增值收益。</w:t>
      </w:r>
    </w:p>
    <w:p>
      <w:pPr>
        <w:pStyle w:val="19"/>
        <w:snapToGrid w:val="0"/>
        <w:spacing w:line="560" w:lineRule="exact"/>
        <w:ind w:firstLine="480"/>
        <w:rPr>
          <w:rFonts w:ascii="Times New Roman" w:hAnsi="Times New Roman" w:cs="Times New Roman"/>
          <w:highlight w:val="none"/>
        </w:rPr>
      </w:pPr>
    </w:p>
    <w:p>
      <w:pPr>
        <w:numPr>
          <w:ilvl w:val="1"/>
          <w:numId w:val="0"/>
        </w:numPr>
        <w:snapToGrid w:val="0"/>
        <w:spacing w:line="560" w:lineRule="exact"/>
        <w:ind w:firstLine="643" w:firstLineChars="200"/>
        <w:outlineLvl w:val="1"/>
        <w:rPr>
          <w:rFonts w:hint="eastAsia" w:ascii="仿宋" w:hAnsi="仿宋" w:eastAsia="仿宋" w:cs="仿宋"/>
          <w:szCs w:val="32"/>
          <w:highlight w:val="none"/>
          <w:lang w:eastAsia="zh-CN"/>
        </w:rPr>
      </w:pPr>
      <w:r>
        <w:rPr>
          <w:rFonts w:hint="eastAsia" w:ascii="仿宋" w:hAnsi="仿宋" w:eastAsia="仿宋" w:cs="仿宋"/>
          <w:b/>
          <w:bCs/>
          <w:szCs w:val="32"/>
          <w:highlight w:val="none"/>
        </w:rPr>
        <w:t>第十</w:t>
      </w:r>
      <w:r>
        <w:rPr>
          <w:rFonts w:hint="eastAsia" w:ascii="仿宋" w:hAnsi="仿宋" w:eastAsia="仿宋" w:cs="仿宋"/>
          <w:b/>
          <w:bCs/>
          <w:szCs w:val="32"/>
          <w:highlight w:val="none"/>
          <w:lang w:val="en-US" w:eastAsia="zh-CN"/>
        </w:rPr>
        <w:t>二</w:t>
      </w:r>
      <w:r>
        <w:rPr>
          <w:rFonts w:hint="eastAsia" w:ascii="仿宋" w:hAnsi="仿宋" w:eastAsia="仿宋" w:cs="仿宋"/>
          <w:b/>
          <w:bCs/>
          <w:szCs w:val="32"/>
          <w:highlight w:val="none"/>
        </w:rPr>
        <w:t>条【</w:t>
      </w:r>
      <w:r>
        <w:rPr>
          <w:rFonts w:hint="eastAsia" w:ascii="仿宋" w:hAnsi="仿宋" w:eastAsia="仿宋" w:cs="仿宋"/>
          <w:szCs w:val="32"/>
          <w:highlight w:val="none"/>
        </w:rPr>
        <w:t>调节金</w:t>
      </w:r>
      <w:r>
        <w:rPr>
          <w:rFonts w:hint="eastAsia" w:ascii="仿宋" w:hAnsi="仿宋" w:eastAsia="仿宋" w:cs="仿宋"/>
          <w:szCs w:val="32"/>
          <w:highlight w:val="none"/>
          <w:lang w:val="en-US" w:eastAsia="zh-CN"/>
        </w:rPr>
        <w:t>征收</w:t>
      </w:r>
      <w:r>
        <w:rPr>
          <w:rFonts w:hint="eastAsia" w:ascii="仿宋" w:hAnsi="仿宋" w:eastAsia="仿宋" w:cs="仿宋"/>
          <w:szCs w:val="32"/>
          <w:highlight w:val="none"/>
        </w:rPr>
        <w:t>标准</w:t>
      </w:r>
      <w:r>
        <w:rPr>
          <w:rFonts w:hint="eastAsia" w:ascii="仿宋" w:hAnsi="仿宋" w:eastAsia="仿宋" w:cs="仿宋"/>
          <w:b/>
          <w:bCs/>
          <w:szCs w:val="32"/>
          <w:highlight w:val="none"/>
        </w:rPr>
        <w:t>】</w:t>
      </w:r>
      <w:r>
        <w:rPr>
          <w:rFonts w:hint="eastAsia" w:ascii="仿宋" w:hAnsi="仿宋" w:eastAsia="仿宋" w:cs="仿宋"/>
          <w:szCs w:val="32"/>
          <w:highlight w:val="none"/>
        </w:rPr>
        <w:t xml:space="preserve"> 农村集体经营性建设用地</w:t>
      </w:r>
      <w:r>
        <w:rPr>
          <w:rFonts w:hint="eastAsia" w:ascii="仿宋" w:hAnsi="仿宋" w:eastAsia="仿宋" w:cs="仿宋"/>
          <w:szCs w:val="32"/>
          <w:highlight w:val="none"/>
          <w:lang w:val="en-US" w:eastAsia="zh-CN"/>
        </w:rPr>
        <w:t>入市和再转让的调节金</w:t>
      </w:r>
      <w:r>
        <w:rPr>
          <w:rFonts w:hint="eastAsia" w:ascii="仿宋" w:hAnsi="仿宋" w:eastAsia="仿宋" w:cs="仿宋"/>
          <w:szCs w:val="32"/>
          <w:highlight w:val="none"/>
        </w:rPr>
        <w:t>实行差别化征收</w:t>
      </w:r>
      <w:r>
        <w:rPr>
          <w:rFonts w:hint="eastAsia" w:ascii="仿宋" w:hAnsi="仿宋" w:eastAsia="仿宋" w:cs="仿宋"/>
          <w:szCs w:val="32"/>
          <w:highlight w:val="none"/>
          <w:lang w:eastAsia="zh-CN"/>
        </w:rPr>
        <w:t>。</w:t>
      </w:r>
    </w:p>
    <w:p>
      <w:pPr>
        <w:numPr>
          <w:ilvl w:val="1"/>
          <w:numId w:val="0"/>
        </w:numPr>
        <w:snapToGrid w:val="0"/>
        <w:spacing w:line="560" w:lineRule="exact"/>
        <w:ind w:firstLine="640" w:firstLineChars="200"/>
        <w:outlineLvl w:val="9"/>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（一）对于农村集体经营性建设用地通过</w:t>
      </w:r>
      <w:r>
        <w:rPr>
          <w:rFonts w:hint="eastAsia" w:ascii="仿宋" w:hAnsi="仿宋" w:eastAsia="仿宋" w:cs="仿宋"/>
          <w:b/>
          <w:bCs/>
          <w:szCs w:val="32"/>
          <w:highlight w:val="none"/>
          <w:lang w:eastAsia="zh-CN"/>
        </w:rPr>
        <w:t>出让、出租</w:t>
      </w:r>
      <w:r>
        <w:rPr>
          <w:rFonts w:hint="eastAsia" w:ascii="仿宋" w:hAnsi="仿宋" w:eastAsia="仿宋" w:cs="仿宋"/>
          <w:szCs w:val="32"/>
          <w:highlight w:val="none"/>
          <w:lang w:eastAsia="zh-CN"/>
        </w:rPr>
        <w:t>入市的，</w:t>
      </w:r>
      <w:r>
        <w:rPr>
          <w:rFonts w:hint="eastAsia" w:ascii="仿宋" w:hAnsi="仿宋" w:eastAsia="仿宋" w:cs="仿宋"/>
          <w:szCs w:val="32"/>
          <w:highlight w:val="none"/>
          <w:lang w:val="en-US" w:eastAsia="zh-CN"/>
        </w:rPr>
        <w:t>根据不同入市用途按</w:t>
      </w:r>
      <w:r>
        <w:rPr>
          <w:rFonts w:hint="eastAsia" w:ascii="仿宋" w:hAnsi="仿宋" w:eastAsia="仿宋" w:cs="仿宋"/>
          <w:szCs w:val="32"/>
          <w:highlight w:val="none"/>
          <w:lang w:eastAsia="zh-CN"/>
        </w:rPr>
        <w:t>梯度征收，具体征收标准如下：</w:t>
      </w:r>
    </w:p>
    <w:p>
      <w:pPr>
        <w:numPr>
          <w:ilvl w:val="1"/>
          <w:numId w:val="0"/>
        </w:numPr>
        <w:snapToGrid w:val="0"/>
        <w:spacing w:line="560" w:lineRule="exact"/>
        <w:ind w:firstLine="640" w:firstLineChars="200"/>
        <w:outlineLvl w:val="9"/>
        <w:rPr>
          <w:rFonts w:hint="eastAsia" w:ascii="仿宋" w:hAnsi="仿宋" w:eastAsia="仿宋" w:cs="仿宋"/>
          <w:szCs w:val="32"/>
          <w:highlight w:val="none"/>
          <w:lang w:val="en-US" w:eastAsia="zh-CN"/>
        </w:rPr>
      </w:pPr>
      <w:r>
        <w:rPr>
          <w:rFonts w:hint="eastAsia" w:ascii="仿宋" w:hAnsi="仿宋" w:eastAsia="仿宋" w:cs="仿宋"/>
          <w:szCs w:val="32"/>
          <w:highlight w:val="none"/>
          <w:lang w:eastAsia="zh-CN"/>
        </w:rPr>
        <w:t>1.</w:t>
      </w:r>
      <w:r>
        <w:rPr>
          <w:rFonts w:hint="eastAsia" w:ascii="仿宋" w:hAnsi="仿宋" w:eastAsia="仿宋" w:cs="仿宋"/>
          <w:szCs w:val="32"/>
          <w:highlight w:val="none"/>
        </w:rPr>
        <w:t>出让、出租</w:t>
      </w:r>
      <w:r>
        <w:rPr>
          <w:rFonts w:hint="eastAsia" w:ascii="仿宋" w:hAnsi="仿宋" w:eastAsia="仿宋" w:cs="仿宋"/>
          <w:szCs w:val="32"/>
          <w:highlight w:val="none"/>
          <w:lang w:eastAsia="zh-CN"/>
        </w:rPr>
        <w:t>商业用途</w:t>
      </w:r>
      <w:r>
        <w:rPr>
          <w:rFonts w:hint="eastAsia" w:ascii="仿宋" w:hAnsi="仿宋" w:eastAsia="仿宋" w:cs="仿宋"/>
          <w:szCs w:val="32"/>
          <w:highlight w:val="none"/>
          <w:lang w:val="en-US" w:eastAsia="zh-CN"/>
        </w:rPr>
        <w:t>的农村集体经营性建设用地：</w:t>
      </w:r>
    </w:p>
    <w:p>
      <w:pPr>
        <w:numPr>
          <w:ilvl w:val="1"/>
          <w:numId w:val="0"/>
        </w:numPr>
        <w:snapToGrid w:val="0"/>
        <w:spacing w:line="560" w:lineRule="exact"/>
        <w:ind w:firstLine="640" w:firstLineChars="200"/>
        <w:outlineLvl w:val="9"/>
        <w:rPr>
          <w:rFonts w:hint="eastAsia" w:ascii="仿宋" w:hAnsi="仿宋" w:eastAsia="仿宋" w:cs="仿宋"/>
          <w:szCs w:val="32"/>
          <w:highlight w:val="none"/>
          <w:lang w:eastAsia="zh-CN"/>
        </w:rPr>
      </w:pPr>
      <w:r>
        <w:rPr>
          <w:rFonts w:hint="eastAsia" w:ascii="仿宋" w:hAnsi="仿宋" w:eastAsia="仿宋" w:cs="仿宋"/>
          <w:szCs w:val="32"/>
          <w:highlight w:val="none"/>
          <w:lang w:val="en-US" w:eastAsia="zh-CN"/>
        </w:rPr>
        <w:t>入市楼面地价未</w:t>
      </w:r>
      <w:r>
        <w:rPr>
          <w:rFonts w:hint="eastAsia" w:ascii="仿宋" w:hAnsi="仿宋" w:eastAsia="仿宋" w:cs="仿宋"/>
          <w:szCs w:val="32"/>
          <w:highlight w:val="none"/>
          <w:lang w:eastAsia="zh-CN"/>
        </w:rPr>
        <w:t>超过</w:t>
      </w:r>
      <w:r>
        <w:rPr>
          <w:rFonts w:hint="eastAsia" w:ascii="仿宋" w:hAnsi="仿宋" w:eastAsia="仿宋" w:cs="仿宋"/>
          <w:szCs w:val="32"/>
          <w:highlight w:val="none"/>
          <w:lang w:val="en-US" w:eastAsia="zh-CN"/>
        </w:rPr>
        <w:t>近五年花都区商业用途的国有建设用地出让平均楼面地价（含</w:t>
      </w:r>
      <w:r>
        <w:rPr>
          <w:rFonts w:hint="eastAsia" w:ascii="仿宋" w:hAnsi="仿宋" w:eastAsia="仿宋" w:cs="仿宋"/>
          <w:szCs w:val="32"/>
          <w:highlight w:val="none"/>
        </w:rPr>
        <w:t>近五年</w:t>
      </w:r>
      <w:r>
        <w:rPr>
          <w:rFonts w:hint="eastAsia" w:ascii="仿宋" w:hAnsi="仿宋" w:eastAsia="仿宋" w:cs="仿宋"/>
          <w:szCs w:val="32"/>
          <w:highlight w:val="none"/>
          <w:lang w:val="en-US" w:eastAsia="zh-CN"/>
        </w:rPr>
        <w:t>花都区</w:t>
      </w:r>
      <w:r>
        <w:rPr>
          <w:rFonts w:hint="eastAsia" w:ascii="仿宋" w:hAnsi="仿宋" w:eastAsia="仿宋" w:cs="仿宋"/>
          <w:szCs w:val="32"/>
          <w:highlight w:val="none"/>
        </w:rPr>
        <w:t>商业用途的国有建设用地出让平均楼面</w:t>
      </w:r>
      <w:r>
        <w:rPr>
          <w:rFonts w:hint="eastAsia" w:ascii="仿宋" w:hAnsi="仿宋" w:eastAsia="仿宋" w:cs="仿宋"/>
          <w:szCs w:val="32"/>
          <w:highlight w:val="none"/>
          <w:lang w:val="en-US" w:eastAsia="zh-CN"/>
        </w:rPr>
        <w:t>地价）的</w:t>
      </w:r>
      <w:r>
        <w:rPr>
          <w:rFonts w:hint="eastAsia" w:ascii="仿宋" w:hAnsi="仿宋" w:eastAsia="仿宋" w:cs="仿宋"/>
          <w:szCs w:val="32"/>
          <w:highlight w:val="none"/>
          <w:lang w:eastAsia="zh-CN"/>
        </w:rPr>
        <w:t>，</w:t>
      </w:r>
      <w:r>
        <w:rPr>
          <w:rFonts w:hint="eastAsia" w:ascii="仿宋" w:hAnsi="仿宋" w:eastAsia="仿宋" w:cs="仿宋"/>
          <w:szCs w:val="32"/>
          <w:highlight w:val="none"/>
          <w:lang w:val="en-US" w:eastAsia="zh-CN"/>
        </w:rPr>
        <w:t>调节金</w:t>
      </w:r>
      <w:r>
        <w:rPr>
          <w:rFonts w:hint="eastAsia" w:ascii="仿宋" w:hAnsi="仿宋" w:eastAsia="仿宋" w:cs="仿宋"/>
          <w:szCs w:val="32"/>
          <w:highlight w:val="none"/>
          <w:lang w:eastAsia="zh-CN"/>
        </w:rPr>
        <w:t>按</w:t>
      </w:r>
      <w:r>
        <w:rPr>
          <w:rFonts w:hint="eastAsia" w:ascii="仿宋" w:hAnsi="仿宋" w:eastAsia="仿宋" w:cs="仿宋"/>
          <w:szCs w:val="32"/>
          <w:highlight w:val="none"/>
          <w:lang w:val="en-US" w:eastAsia="zh-CN"/>
        </w:rPr>
        <w:t>入市</w:t>
      </w:r>
      <w:r>
        <w:rPr>
          <w:rFonts w:hint="eastAsia" w:ascii="仿宋" w:hAnsi="仿宋" w:eastAsia="仿宋" w:cs="仿宋"/>
          <w:szCs w:val="32"/>
          <w:highlight w:val="none"/>
          <w:lang w:eastAsia="zh-CN"/>
        </w:rPr>
        <w:t>增值收益的20%征收；</w:t>
      </w:r>
    </w:p>
    <w:p>
      <w:pPr>
        <w:numPr>
          <w:ilvl w:val="1"/>
          <w:numId w:val="0"/>
        </w:numPr>
        <w:snapToGrid w:val="0"/>
        <w:spacing w:line="560" w:lineRule="exact"/>
        <w:ind w:firstLine="640" w:firstLineChars="200"/>
        <w:outlineLvl w:val="9"/>
        <w:rPr>
          <w:rFonts w:hint="eastAsia" w:ascii="仿宋" w:hAnsi="仿宋" w:eastAsia="仿宋" w:cs="仿宋"/>
          <w:szCs w:val="32"/>
          <w:highlight w:val="none"/>
          <w:lang w:eastAsia="zh-CN"/>
        </w:rPr>
      </w:pPr>
      <w:r>
        <w:rPr>
          <w:rFonts w:hint="eastAsia" w:ascii="仿宋" w:hAnsi="仿宋" w:eastAsia="仿宋" w:cs="仿宋"/>
          <w:szCs w:val="32"/>
          <w:highlight w:val="none"/>
        </w:rPr>
        <w:t>入市楼面地价超过近五年花都区商业用途的国有建设用地出让平均楼面地价的，调节金按照以下公式计算的结果征收：（近五年花都区商业用途的国有建设用地出让平均楼面地价÷入市楼面地价）×入市增值收益×20%+[（入市楼面地价-近五年花都区商业用途的国有建设用地出让平均楼面地价）÷入市楼面地价]×入市增值收益×30%；</w:t>
      </w:r>
    </w:p>
    <w:p>
      <w:pPr>
        <w:numPr>
          <w:ilvl w:val="0"/>
          <w:numId w:val="0"/>
        </w:numPr>
        <w:snapToGrid w:val="0"/>
        <w:spacing w:line="560" w:lineRule="exact"/>
        <w:ind w:firstLine="640" w:firstLineChars="200"/>
        <w:outlineLvl w:val="9"/>
        <w:rPr>
          <w:rFonts w:hint="eastAsia" w:ascii="仿宋" w:hAnsi="仿宋" w:eastAsia="仿宋" w:cs="仿宋"/>
          <w:szCs w:val="32"/>
          <w:highlight w:val="none"/>
          <w:lang w:eastAsia="zh-CN"/>
        </w:rPr>
      </w:pPr>
      <w:r>
        <w:rPr>
          <w:rFonts w:hint="eastAsia" w:ascii="仿宋" w:hAnsi="仿宋" w:eastAsia="仿宋" w:cs="仿宋"/>
          <w:kern w:val="2"/>
          <w:sz w:val="32"/>
          <w:szCs w:val="32"/>
          <w:highlight w:val="none"/>
          <w:lang w:val="en-US" w:eastAsia="zh-CN" w:bidi="ar-SA"/>
        </w:rPr>
        <w:t>2.</w:t>
      </w:r>
      <w:r>
        <w:rPr>
          <w:rFonts w:hint="eastAsia" w:ascii="仿宋" w:hAnsi="仿宋" w:eastAsia="仿宋" w:cs="仿宋"/>
          <w:szCs w:val="32"/>
          <w:highlight w:val="none"/>
        </w:rPr>
        <w:t>出让、出租</w:t>
      </w:r>
      <w:r>
        <w:rPr>
          <w:rFonts w:hint="eastAsia" w:ascii="仿宋" w:hAnsi="仿宋" w:eastAsia="仿宋" w:cs="仿宋"/>
          <w:szCs w:val="32"/>
          <w:highlight w:val="none"/>
          <w:lang w:eastAsia="zh-CN"/>
        </w:rPr>
        <w:t>工业用途</w:t>
      </w:r>
      <w:r>
        <w:rPr>
          <w:rFonts w:hint="eastAsia" w:ascii="仿宋" w:hAnsi="仿宋" w:eastAsia="仿宋" w:cs="仿宋"/>
          <w:szCs w:val="32"/>
          <w:highlight w:val="none"/>
        </w:rPr>
        <w:t>的农村集体经营性建设用地</w:t>
      </w:r>
      <w:r>
        <w:rPr>
          <w:rFonts w:hint="eastAsia" w:ascii="仿宋" w:hAnsi="仿宋" w:eastAsia="仿宋" w:cs="仿宋"/>
          <w:szCs w:val="32"/>
          <w:highlight w:val="none"/>
          <w:lang w:eastAsia="zh-CN"/>
        </w:rPr>
        <w:t>：</w:t>
      </w:r>
    </w:p>
    <w:p>
      <w:pPr>
        <w:numPr>
          <w:ilvl w:val="0"/>
          <w:numId w:val="0"/>
        </w:numPr>
        <w:snapToGrid w:val="0"/>
        <w:spacing w:line="560" w:lineRule="exact"/>
        <w:ind w:firstLine="640" w:firstLineChars="200"/>
        <w:outlineLvl w:val="9"/>
        <w:rPr>
          <w:rFonts w:hint="eastAsia" w:ascii="仿宋" w:hAnsi="仿宋" w:eastAsia="仿宋" w:cs="仿宋"/>
          <w:szCs w:val="32"/>
          <w:highlight w:val="none"/>
          <w:lang w:eastAsia="zh-CN"/>
        </w:rPr>
      </w:pPr>
      <w:r>
        <w:rPr>
          <w:rFonts w:hint="eastAsia" w:ascii="仿宋" w:hAnsi="仿宋" w:eastAsia="仿宋" w:cs="仿宋"/>
          <w:szCs w:val="32"/>
          <w:highlight w:val="none"/>
          <w:lang w:val="en-US" w:eastAsia="zh-CN"/>
        </w:rPr>
        <w:t>入市地面地价未</w:t>
      </w:r>
      <w:r>
        <w:rPr>
          <w:rFonts w:hint="eastAsia" w:ascii="仿宋" w:hAnsi="仿宋" w:eastAsia="仿宋" w:cs="仿宋"/>
          <w:szCs w:val="32"/>
          <w:highlight w:val="none"/>
          <w:lang w:eastAsia="zh-CN"/>
        </w:rPr>
        <w:t>超过</w:t>
      </w:r>
      <w:r>
        <w:rPr>
          <w:rFonts w:hint="eastAsia" w:ascii="仿宋" w:hAnsi="仿宋" w:eastAsia="仿宋" w:cs="仿宋"/>
          <w:szCs w:val="32"/>
          <w:highlight w:val="none"/>
          <w:lang w:val="en-US" w:eastAsia="zh-CN"/>
        </w:rPr>
        <w:t>近五年花都区工业用途的国有建设用地出让平均地面地价（含近五年花都区工业用途的国有建设用地出让平均地面地价）的</w:t>
      </w:r>
      <w:r>
        <w:rPr>
          <w:rFonts w:hint="eastAsia" w:ascii="仿宋" w:hAnsi="仿宋" w:eastAsia="仿宋" w:cs="仿宋"/>
          <w:szCs w:val="32"/>
          <w:highlight w:val="none"/>
          <w:lang w:eastAsia="zh-CN"/>
        </w:rPr>
        <w:t>，</w:t>
      </w:r>
      <w:r>
        <w:rPr>
          <w:rFonts w:hint="eastAsia" w:ascii="仿宋" w:hAnsi="仿宋" w:eastAsia="仿宋" w:cs="仿宋"/>
          <w:szCs w:val="32"/>
          <w:highlight w:val="none"/>
        </w:rPr>
        <w:t>调节</w:t>
      </w:r>
      <w:r>
        <w:rPr>
          <w:rFonts w:hint="eastAsia" w:ascii="仿宋" w:hAnsi="仿宋" w:eastAsia="仿宋" w:cs="仿宋"/>
          <w:szCs w:val="32"/>
          <w:highlight w:val="none"/>
          <w:lang w:val="en-US" w:eastAsia="zh-CN"/>
        </w:rPr>
        <w:t>金按入市</w:t>
      </w:r>
      <w:r>
        <w:rPr>
          <w:rFonts w:hint="eastAsia" w:ascii="仿宋" w:hAnsi="仿宋" w:eastAsia="仿宋" w:cs="仿宋"/>
          <w:szCs w:val="32"/>
          <w:highlight w:val="none"/>
          <w:lang w:eastAsia="zh-CN"/>
        </w:rPr>
        <w:t>增值收益的20%征收；</w:t>
      </w:r>
    </w:p>
    <w:p>
      <w:pPr>
        <w:numPr>
          <w:ilvl w:val="0"/>
          <w:numId w:val="0"/>
        </w:numPr>
        <w:snapToGrid w:val="0"/>
        <w:spacing w:line="560" w:lineRule="exact"/>
        <w:ind w:firstLine="640" w:firstLineChars="200"/>
        <w:outlineLvl w:val="9"/>
        <w:rPr>
          <w:rFonts w:hint="eastAsia" w:ascii="仿宋" w:hAnsi="仿宋" w:eastAsia="仿宋" w:cs="仿宋"/>
          <w:szCs w:val="32"/>
          <w:highlight w:val="none"/>
          <w:lang w:eastAsia="zh-CN"/>
        </w:rPr>
      </w:pPr>
      <w:r>
        <w:rPr>
          <w:rFonts w:hint="eastAsia" w:ascii="仿宋" w:hAnsi="仿宋" w:eastAsia="仿宋" w:cs="仿宋"/>
          <w:szCs w:val="32"/>
          <w:highlight w:val="none"/>
        </w:rPr>
        <w:t>入市地面地价超过近五年花都区工业用途的国有建设用地出让平均地面地价的，调节金按照以下公式计算的结果征收：（近五年花都区工业用途的国有建设用地出让平均地面地价÷入市地面地价）×入市增值收益×20%+[（入市地面地价-近五年花都区工业用途的国有建设用地出让平均地面地价）÷入市地面地价]×入市增值收益×25%；</w:t>
      </w:r>
    </w:p>
    <w:p>
      <w:pPr>
        <w:numPr>
          <w:ilvl w:val="0"/>
          <w:numId w:val="0"/>
        </w:numPr>
        <w:snapToGrid w:val="0"/>
        <w:spacing w:line="560" w:lineRule="exact"/>
        <w:ind w:firstLine="640" w:firstLineChars="200"/>
        <w:outlineLvl w:val="9"/>
        <w:rPr>
          <w:rFonts w:hint="eastAsia" w:ascii="仿宋" w:hAnsi="仿宋" w:eastAsia="仿宋" w:cs="仿宋"/>
          <w:szCs w:val="32"/>
          <w:highlight w:val="none"/>
          <w:lang w:eastAsia="zh-CN"/>
        </w:rPr>
      </w:pPr>
      <w:r>
        <w:rPr>
          <w:rFonts w:hint="eastAsia" w:ascii="仿宋" w:hAnsi="仿宋" w:eastAsia="仿宋" w:cs="仿宋"/>
          <w:kern w:val="2"/>
          <w:sz w:val="32"/>
          <w:szCs w:val="32"/>
          <w:highlight w:val="none"/>
          <w:lang w:val="en-US" w:eastAsia="zh-CN" w:bidi="ar-SA"/>
        </w:rPr>
        <w:t>3.</w:t>
      </w:r>
      <w:r>
        <w:rPr>
          <w:rFonts w:hint="eastAsia" w:ascii="仿宋" w:hAnsi="仿宋" w:eastAsia="仿宋" w:cs="仿宋"/>
          <w:szCs w:val="32"/>
          <w:highlight w:val="none"/>
        </w:rPr>
        <w:t>出让、出租</w:t>
      </w:r>
      <w:r>
        <w:rPr>
          <w:rFonts w:hint="eastAsia" w:ascii="仿宋" w:hAnsi="仿宋" w:eastAsia="仿宋" w:cs="仿宋"/>
          <w:szCs w:val="32"/>
          <w:highlight w:val="none"/>
          <w:lang w:val="en-US" w:eastAsia="zh-CN"/>
        </w:rPr>
        <w:t>其他经营性</w:t>
      </w:r>
      <w:r>
        <w:rPr>
          <w:rFonts w:hint="eastAsia" w:ascii="仿宋" w:hAnsi="仿宋" w:eastAsia="仿宋" w:cs="仿宋"/>
          <w:szCs w:val="32"/>
          <w:highlight w:val="none"/>
          <w:lang w:eastAsia="zh-CN"/>
        </w:rPr>
        <w:t>用途</w:t>
      </w:r>
      <w:r>
        <w:rPr>
          <w:rFonts w:hint="eastAsia" w:ascii="仿宋" w:hAnsi="仿宋" w:eastAsia="仿宋" w:cs="仿宋"/>
          <w:szCs w:val="32"/>
          <w:highlight w:val="none"/>
        </w:rPr>
        <w:t>的农村集体经营性建设用地</w:t>
      </w:r>
      <w:r>
        <w:rPr>
          <w:rFonts w:hint="eastAsia" w:ascii="仿宋" w:hAnsi="仿宋" w:eastAsia="仿宋" w:cs="仿宋"/>
          <w:szCs w:val="32"/>
          <w:highlight w:val="none"/>
          <w:lang w:eastAsia="zh-CN"/>
        </w:rPr>
        <w:t>，</w:t>
      </w:r>
      <w:r>
        <w:rPr>
          <w:rFonts w:hint="eastAsia" w:ascii="仿宋" w:hAnsi="仿宋" w:eastAsia="仿宋" w:cs="仿宋"/>
          <w:szCs w:val="32"/>
          <w:highlight w:val="none"/>
          <w:lang w:val="en-US" w:eastAsia="zh-CN"/>
        </w:rPr>
        <w:t>调节金征收比例</w:t>
      </w:r>
      <w:r>
        <w:rPr>
          <w:rFonts w:hint="eastAsia" w:ascii="仿宋" w:hAnsi="仿宋" w:eastAsia="仿宋" w:cs="仿宋"/>
          <w:szCs w:val="32"/>
          <w:highlight w:val="none"/>
        </w:rPr>
        <w:t>参照</w:t>
      </w:r>
      <w:r>
        <w:rPr>
          <w:rFonts w:hint="eastAsia" w:ascii="仿宋" w:hAnsi="仿宋" w:eastAsia="仿宋" w:cs="仿宋"/>
          <w:szCs w:val="32"/>
          <w:highlight w:val="none"/>
          <w:lang w:val="en-US" w:eastAsia="zh-CN"/>
        </w:rPr>
        <w:t>工业</w:t>
      </w:r>
      <w:r>
        <w:rPr>
          <w:rFonts w:hint="eastAsia" w:ascii="仿宋" w:hAnsi="仿宋" w:eastAsia="仿宋" w:cs="仿宋"/>
          <w:szCs w:val="32"/>
          <w:highlight w:val="none"/>
        </w:rPr>
        <w:t>用途标准执行</w:t>
      </w:r>
      <w:r>
        <w:rPr>
          <w:rFonts w:hint="eastAsia" w:ascii="仿宋" w:hAnsi="仿宋" w:eastAsia="仿宋" w:cs="仿宋"/>
          <w:szCs w:val="32"/>
          <w:highlight w:val="none"/>
          <w:lang w:eastAsia="zh-CN"/>
        </w:rPr>
        <w:t>；</w:t>
      </w:r>
    </w:p>
    <w:p>
      <w:pPr>
        <w:numPr>
          <w:ilvl w:val="1"/>
          <w:numId w:val="0"/>
        </w:numPr>
        <w:snapToGrid w:val="0"/>
        <w:spacing w:line="560" w:lineRule="exact"/>
        <w:ind w:firstLine="640" w:firstLineChars="200"/>
        <w:outlineLvl w:val="9"/>
        <w:rPr>
          <w:rFonts w:hint="eastAsia" w:ascii="仿宋" w:hAnsi="仿宋" w:eastAsia="仿宋" w:cs="仿宋"/>
          <w:bCs/>
          <w:szCs w:val="32"/>
          <w:highlight w:val="none"/>
        </w:rPr>
      </w:pPr>
      <w:r>
        <w:rPr>
          <w:rFonts w:hint="eastAsia" w:ascii="仿宋" w:hAnsi="仿宋" w:eastAsia="仿宋" w:cs="仿宋"/>
          <w:szCs w:val="32"/>
          <w:highlight w:val="none"/>
          <w:lang w:eastAsia="zh-CN"/>
        </w:rPr>
        <w:t>（</w:t>
      </w:r>
      <w:r>
        <w:rPr>
          <w:rFonts w:hint="eastAsia" w:ascii="仿宋" w:hAnsi="仿宋" w:eastAsia="仿宋" w:cs="仿宋"/>
          <w:szCs w:val="32"/>
          <w:highlight w:val="none"/>
          <w:lang w:val="en-US" w:eastAsia="zh-CN"/>
        </w:rPr>
        <w:t>二</w:t>
      </w:r>
      <w:r>
        <w:rPr>
          <w:rFonts w:hint="eastAsia" w:ascii="仿宋" w:hAnsi="仿宋" w:eastAsia="仿宋" w:cs="仿宋"/>
          <w:szCs w:val="32"/>
          <w:highlight w:val="none"/>
          <w:lang w:eastAsia="zh-CN"/>
        </w:rPr>
        <w:t>）对于农村集体经营性建设用地通过</w:t>
      </w:r>
      <w:r>
        <w:rPr>
          <w:rFonts w:hint="eastAsia" w:ascii="仿宋" w:hAnsi="仿宋" w:eastAsia="仿宋" w:cs="仿宋"/>
          <w:b/>
          <w:bCs/>
          <w:szCs w:val="32"/>
          <w:highlight w:val="none"/>
        </w:rPr>
        <w:t>转让、转租</w:t>
      </w:r>
      <w:r>
        <w:rPr>
          <w:rFonts w:hint="eastAsia" w:ascii="仿宋" w:hAnsi="仿宋" w:eastAsia="仿宋" w:cs="仿宋"/>
          <w:bCs/>
          <w:szCs w:val="32"/>
          <w:highlight w:val="none"/>
        </w:rPr>
        <w:t>等交易行为再次进行转让的，调节金按照四级超率累进的计算方式</w:t>
      </w:r>
      <w:r>
        <w:rPr>
          <w:rFonts w:hint="eastAsia" w:ascii="仿宋" w:hAnsi="仿宋" w:eastAsia="仿宋" w:cs="仿宋"/>
          <w:bCs/>
          <w:szCs w:val="32"/>
          <w:highlight w:val="none"/>
          <w:lang w:val="en-US" w:eastAsia="zh-CN"/>
        </w:rPr>
        <w:t>征收</w:t>
      </w:r>
      <w:r>
        <w:rPr>
          <w:rFonts w:hint="eastAsia" w:ascii="仿宋" w:hAnsi="仿宋" w:eastAsia="仿宋" w:cs="仿宋"/>
          <w:bCs/>
          <w:szCs w:val="32"/>
          <w:highlight w:val="none"/>
        </w:rPr>
        <w:t>，具体</w:t>
      </w:r>
      <w:r>
        <w:rPr>
          <w:rFonts w:hint="eastAsia" w:ascii="仿宋" w:hAnsi="仿宋" w:eastAsia="仿宋" w:cs="仿宋"/>
          <w:bCs/>
          <w:szCs w:val="32"/>
          <w:highlight w:val="none"/>
          <w:lang w:val="en-US" w:eastAsia="zh-CN"/>
        </w:rPr>
        <w:t>征收</w:t>
      </w:r>
      <w:r>
        <w:rPr>
          <w:rFonts w:hint="eastAsia" w:ascii="仿宋" w:hAnsi="仿宋" w:eastAsia="仿宋" w:cs="仿宋"/>
          <w:bCs/>
          <w:szCs w:val="32"/>
          <w:highlight w:val="none"/>
        </w:rPr>
        <w:t>标准如下：</w:t>
      </w:r>
    </w:p>
    <w:p>
      <w:pPr>
        <w:pStyle w:val="35"/>
        <w:snapToGrid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bCs/>
          <w:sz w:val="32"/>
          <w:szCs w:val="32"/>
          <w:highlight w:val="none"/>
          <w:lang w:val="en-US" w:eastAsia="zh-CN"/>
        </w:rPr>
        <w:t>1.再转让</w:t>
      </w:r>
      <w:r>
        <w:rPr>
          <w:rFonts w:hint="eastAsia" w:ascii="仿宋" w:hAnsi="仿宋" w:eastAsia="仿宋" w:cs="仿宋"/>
          <w:bCs/>
          <w:sz w:val="32"/>
          <w:szCs w:val="32"/>
          <w:highlight w:val="none"/>
        </w:rPr>
        <w:t>增值收益占再转让成本的比例未超过</w:t>
      </w:r>
      <w:r>
        <w:rPr>
          <w:rFonts w:hint="eastAsia" w:ascii="仿宋" w:hAnsi="仿宋" w:eastAsia="仿宋" w:cs="仿宋"/>
          <w:sz w:val="32"/>
          <w:szCs w:val="32"/>
          <w:highlight w:val="none"/>
        </w:rPr>
        <w:t>50%（含50%）以内的部分，调节金按再转让增值收益的20%</w:t>
      </w:r>
      <w:r>
        <w:rPr>
          <w:rFonts w:hint="eastAsia" w:ascii="仿宋" w:hAnsi="仿宋" w:eastAsia="仿宋" w:cs="仿宋"/>
          <w:sz w:val="32"/>
          <w:szCs w:val="32"/>
          <w:highlight w:val="none"/>
          <w:lang w:val="en-US" w:eastAsia="zh-CN"/>
        </w:rPr>
        <w:t>征收</w:t>
      </w:r>
      <w:r>
        <w:rPr>
          <w:rFonts w:hint="eastAsia" w:ascii="仿宋" w:hAnsi="仿宋" w:eastAsia="仿宋" w:cs="仿宋"/>
          <w:sz w:val="32"/>
          <w:szCs w:val="32"/>
          <w:highlight w:val="none"/>
        </w:rPr>
        <w:t>；</w:t>
      </w:r>
    </w:p>
    <w:p>
      <w:pPr>
        <w:pStyle w:val="35"/>
        <w:snapToGrid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再转让增值收益占</w:t>
      </w:r>
      <w:r>
        <w:rPr>
          <w:rFonts w:hint="eastAsia" w:ascii="仿宋" w:hAnsi="仿宋" w:eastAsia="仿宋" w:cs="仿宋"/>
          <w:bCs/>
          <w:sz w:val="32"/>
          <w:szCs w:val="32"/>
          <w:highlight w:val="none"/>
        </w:rPr>
        <w:t>再转让成本的比例</w:t>
      </w:r>
      <w:r>
        <w:rPr>
          <w:rFonts w:hint="eastAsia" w:ascii="仿宋" w:hAnsi="仿宋" w:eastAsia="仿宋" w:cs="仿宋"/>
          <w:sz w:val="32"/>
          <w:szCs w:val="32"/>
          <w:highlight w:val="none"/>
        </w:rPr>
        <w:t>在50%-100%（含100%）以内的部分，调节金按再转让增值收益的</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征收</w:t>
      </w:r>
      <w:r>
        <w:rPr>
          <w:rFonts w:hint="eastAsia" w:ascii="仿宋" w:hAnsi="仿宋" w:eastAsia="仿宋" w:cs="仿宋"/>
          <w:sz w:val="32"/>
          <w:szCs w:val="32"/>
          <w:highlight w:val="none"/>
        </w:rPr>
        <w:t>；</w:t>
      </w:r>
    </w:p>
    <w:p>
      <w:pPr>
        <w:pStyle w:val="35"/>
        <w:snapToGrid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再转让增值收益占</w:t>
      </w:r>
      <w:r>
        <w:rPr>
          <w:rFonts w:hint="eastAsia" w:ascii="仿宋" w:hAnsi="仿宋" w:eastAsia="仿宋" w:cs="仿宋"/>
          <w:bCs/>
          <w:sz w:val="32"/>
          <w:szCs w:val="32"/>
          <w:highlight w:val="none"/>
        </w:rPr>
        <w:t>再转让成本</w:t>
      </w:r>
      <w:r>
        <w:rPr>
          <w:rFonts w:hint="eastAsia" w:ascii="仿宋" w:hAnsi="仿宋" w:eastAsia="仿宋" w:cs="仿宋"/>
          <w:sz w:val="32"/>
          <w:szCs w:val="32"/>
          <w:highlight w:val="none"/>
        </w:rPr>
        <w:t>的比例超过100%-200%（含200%）的部分，调节金按再转让增值收益的</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征收</w:t>
      </w:r>
      <w:r>
        <w:rPr>
          <w:rFonts w:hint="eastAsia" w:ascii="仿宋" w:hAnsi="仿宋" w:eastAsia="仿宋" w:cs="仿宋"/>
          <w:sz w:val="32"/>
          <w:szCs w:val="32"/>
          <w:highlight w:val="none"/>
        </w:rPr>
        <w:t>；</w:t>
      </w:r>
    </w:p>
    <w:p>
      <w:pPr>
        <w:pStyle w:val="19"/>
        <w:snapToGrid w:val="0"/>
        <w:spacing w:line="560" w:lineRule="exact"/>
        <w:ind w:firstLine="64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再转让增值收益占</w:t>
      </w:r>
      <w:r>
        <w:rPr>
          <w:rFonts w:hint="eastAsia" w:ascii="仿宋" w:hAnsi="仿宋" w:eastAsia="仿宋" w:cs="仿宋"/>
          <w:bCs/>
          <w:sz w:val="32"/>
          <w:szCs w:val="32"/>
          <w:highlight w:val="none"/>
        </w:rPr>
        <w:t>再转让成本</w:t>
      </w:r>
      <w:r>
        <w:rPr>
          <w:rFonts w:hint="eastAsia" w:ascii="仿宋" w:hAnsi="仿宋" w:eastAsia="仿宋" w:cs="仿宋"/>
          <w:sz w:val="32"/>
          <w:szCs w:val="32"/>
          <w:highlight w:val="none"/>
        </w:rPr>
        <w:t>的比例超过200%的部分，调节金按再转让增值收益的</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征收</w:t>
      </w:r>
      <w:r>
        <w:rPr>
          <w:rFonts w:hint="eastAsia" w:ascii="仿宋" w:hAnsi="仿宋" w:eastAsia="仿宋" w:cs="仿宋"/>
          <w:sz w:val="32"/>
          <w:szCs w:val="32"/>
          <w:highlight w:val="none"/>
        </w:rPr>
        <w:t>。</w:t>
      </w:r>
    </w:p>
    <w:p>
      <w:pPr>
        <w:ind w:firstLine="640" w:firstLineChars="0"/>
        <w:rPr>
          <w:highlight w:val="none"/>
        </w:rPr>
      </w:pPr>
    </w:p>
    <w:p>
      <w:pPr>
        <w:snapToGrid w:val="0"/>
        <w:spacing w:line="560" w:lineRule="exact"/>
        <w:ind w:firstLine="643"/>
        <w:outlineLvl w:val="1"/>
        <w:rPr>
          <w:rFonts w:hint="eastAsia" w:ascii="仿宋" w:hAnsi="仿宋" w:eastAsia="仿宋" w:cs="仿宋"/>
          <w:bCs/>
          <w:szCs w:val="32"/>
          <w:highlight w:val="none"/>
        </w:rPr>
      </w:pPr>
      <w:bookmarkStart w:id="2" w:name="_Hlk172059679"/>
      <w:r>
        <w:rPr>
          <w:rFonts w:hint="eastAsia" w:ascii="仿宋" w:hAnsi="仿宋" w:eastAsia="仿宋" w:cs="仿宋"/>
          <w:b/>
          <w:bCs/>
          <w:szCs w:val="32"/>
          <w:highlight w:val="none"/>
        </w:rPr>
        <w:t>第十</w:t>
      </w:r>
      <w:r>
        <w:rPr>
          <w:rFonts w:hint="eastAsia" w:ascii="仿宋" w:hAnsi="仿宋" w:eastAsia="仿宋" w:cs="仿宋"/>
          <w:b/>
          <w:bCs/>
          <w:szCs w:val="32"/>
          <w:highlight w:val="none"/>
          <w:lang w:val="en-US" w:eastAsia="zh-CN"/>
        </w:rPr>
        <w:t>三</w:t>
      </w:r>
      <w:r>
        <w:rPr>
          <w:rFonts w:hint="eastAsia" w:ascii="仿宋" w:hAnsi="仿宋" w:eastAsia="仿宋" w:cs="仿宋"/>
          <w:b/>
          <w:bCs/>
          <w:szCs w:val="32"/>
          <w:highlight w:val="none"/>
        </w:rPr>
        <w:t>条</w:t>
      </w:r>
      <w:r>
        <w:rPr>
          <w:rFonts w:hint="eastAsia" w:ascii="仿宋" w:hAnsi="仿宋" w:eastAsia="仿宋" w:cs="仿宋"/>
          <w:bCs/>
          <w:szCs w:val="32"/>
          <w:highlight w:val="none"/>
        </w:rPr>
        <w:t>【不征收情形】 符合下列情形之一的，暂不收取调节金：</w:t>
      </w:r>
    </w:p>
    <w:p>
      <w:pPr>
        <w:snapToGrid w:val="0"/>
        <w:spacing w:line="560" w:lineRule="exact"/>
        <w:ind w:firstLine="640"/>
        <w:outlineLvl w:val="9"/>
        <w:rPr>
          <w:rFonts w:hint="eastAsia" w:ascii="仿宋" w:hAnsi="仿宋" w:eastAsia="仿宋" w:cs="仿宋"/>
          <w:szCs w:val="32"/>
          <w:highlight w:val="none"/>
        </w:rPr>
      </w:pPr>
      <w:r>
        <w:rPr>
          <w:rFonts w:hint="eastAsia" w:ascii="仿宋" w:hAnsi="仿宋" w:eastAsia="仿宋" w:cs="仿宋"/>
          <w:bCs/>
          <w:szCs w:val="32"/>
          <w:highlight w:val="none"/>
        </w:rPr>
        <w:t>（一）</w:t>
      </w:r>
      <w:r>
        <w:rPr>
          <w:rFonts w:hint="eastAsia" w:ascii="仿宋" w:hAnsi="仿宋" w:eastAsia="仿宋" w:cs="仿宋"/>
          <w:bCs/>
          <w:szCs w:val="32"/>
          <w:highlight w:val="none"/>
          <w:lang w:val="en-US" w:eastAsia="zh-CN"/>
        </w:rPr>
        <w:t>当入市成本（再转让成本）高于入市收入（再转让收入）时，无土地增值收益的情形</w:t>
      </w:r>
      <w:r>
        <w:rPr>
          <w:rFonts w:hint="eastAsia" w:ascii="仿宋" w:hAnsi="仿宋" w:eastAsia="仿宋" w:cs="仿宋"/>
          <w:szCs w:val="32"/>
          <w:highlight w:val="none"/>
        </w:rPr>
        <w:t>；</w:t>
      </w:r>
    </w:p>
    <w:p>
      <w:pPr>
        <w:snapToGrid w:val="0"/>
        <w:spacing w:line="560" w:lineRule="exact"/>
        <w:ind w:firstLine="640"/>
        <w:outlineLvl w:val="9"/>
        <w:rPr>
          <w:rFonts w:hint="eastAsia" w:ascii="仿宋" w:hAnsi="仿宋" w:eastAsia="仿宋" w:cs="仿宋"/>
          <w:szCs w:val="32"/>
          <w:highlight w:val="none"/>
        </w:rPr>
      </w:pPr>
      <w:r>
        <w:rPr>
          <w:rFonts w:hint="eastAsia" w:ascii="仿宋" w:hAnsi="仿宋" w:eastAsia="仿宋" w:cs="仿宋"/>
          <w:bCs/>
          <w:szCs w:val="32"/>
          <w:highlight w:val="none"/>
        </w:rPr>
        <w:t>（</w:t>
      </w:r>
      <w:r>
        <w:rPr>
          <w:rFonts w:hint="eastAsia" w:ascii="仿宋" w:hAnsi="仿宋" w:eastAsia="仿宋" w:cs="仿宋"/>
          <w:bCs/>
          <w:szCs w:val="32"/>
          <w:highlight w:val="none"/>
          <w:lang w:val="en-US" w:eastAsia="zh-CN"/>
        </w:rPr>
        <w:t>二</w:t>
      </w:r>
      <w:r>
        <w:rPr>
          <w:rFonts w:hint="eastAsia" w:ascii="仿宋" w:hAnsi="仿宋" w:eastAsia="仿宋" w:cs="仿宋"/>
          <w:bCs/>
          <w:szCs w:val="32"/>
          <w:highlight w:val="none"/>
        </w:rPr>
        <w:t>）农村集体经营性建设用地使用权</w:t>
      </w:r>
      <w:r>
        <w:rPr>
          <w:rFonts w:hint="eastAsia" w:ascii="仿宋" w:hAnsi="仿宋" w:eastAsia="仿宋" w:cs="仿宋"/>
          <w:szCs w:val="32"/>
          <w:highlight w:val="none"/>
        </w:rPr>
        <w:t>无偿赠与直系亲属或对赠与人承担直接赡养义务的个人；</w:t>
      </w:r>
    </w:p>
    <w:p>
      <w:pPr>
        <w:snapToGrid w:val="0"/>
        <w:spacing w:line="560" w:lineRule="exact"/>
        <w:ind w:firstLine="640"/>
        <w:outlineLvl w:val="9"/>
        <w:rPr>
          <w:rFonts w:hint="eastAsia" w:ascii="仿宋" w:hAnsi="仿宋" w:eastAsia="仿宋" w:cs="仿宋"/>
          <w:szCs w:val="32"/>
          <w:highlight w:val="none"/>
        </w:rPr>
      </w:pP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三</w:t>
      </w:r>
      <w:r>
        <w:rPr>
          <w:rFonts w:hint="eastAsia" w:ascii="仿宋" w:hAnsi="仿宋" w:eastAsia="仿宋" w:cs="仿宋"/>
          <w:szCs w:val="32"/>
          <w:highlight w:val="none"/>
        </w:rPr>
        <w:t>）通过境内合法注册的非营利社会团体或国家机关，将</w:t>
      </w:r>
      <w:r>
        <w:rPr>
          <w:rFonts w:hint="eastAsia" w:ascii="仿宋" w:hAnsi="仿宋" w:eastAsia="仿宋" w:cs="仿宋"/>
          <w:bCs/>
          <w:szCs w:val="32"/>
          <w:highlight w:val="none"/>
        </w:rPr>
        <w:t>农村集体经营性建设用地使用权</w:t>
      </w:r>
      <w:r>
        <w:rPr>
          <w:rFonts w:hint="eastAsia" w:ascii="仿宋" w:hAnsi="仿宋" w:eastAsia="仿宋" w:cs="仿宋"/>
          <w:szCs w:val="32"/>
          <w:highlight w:val="none"/>
        </w:rPr>
        <w:t>赠与用于国内教育、民政、公共基础设施等公益福利事业。</w:t>
      </w:r>
    </w:p>
    <w:bookmarkEnd w:id="2"/>
    <w:p>
      <w:pPr>
        <w:snapToGrid w:val="0"/>
        <w:spacing w:before="0" w:after="0" w:line="560" w:lineRule="exact"/>
        <w:ind w:firstLineChars="0"/>
        <w:jc w:val="center"/>
        <w:outlineLvl w:val="9"/>
        <w:rPr>
          <w:rStyle w:val="16"/>
          <w:rFonts w:hint="eastAsia" w:ascii="黑体" w:hAnsi="黑体" w:eastAsia="黑体" w:cs="黑体"/>
          <w:b w:val="0"/>
          <w:sz w:val="32"/>
          <w:szCs w:val="32"/>
          <w:highlight w:val="none"/>
        </w:rPr>
      </w:pPr>
    </w:p>
    <w:p>
      <w:pPr>
        <w:pStyle w:val="2"/>
        <w:tabs>
          <w:tab w:val="left" w:pos="0"/>
        </w:tabs>
        <w:snapToGrid w:val="0"/>
        <w:spacing w:before="0" w:after="0" w:line="560" w:lineRule="exact"/>
        <w:ind w:firstLine="0" w:firstLineChars="0"/>
        <w:jc w:val="center"/>
        <w:rPr>
          <w:rStyle w:val="16"/>
          <w:rFonts w:ascii="黑体" w:hAnsi="黑体" w:eastAsia="黑体" w:cs="黑体"/>
          <w:b w:val="0"/>
          <w:sz w:val="32"/>
          <w:szCs w:val="32"/>
          <w:highlight w:val="none"/>
        </w:rPr>
      </w:pPr>
      <w:r>
        <w:rPr>
          <w:rStyle w:val="16"/>
          <w:rFonts w:hint="eastAsia" w:ascii="黑体" w:hAnsi="黑体" w:eastAsia="黑体" w:cs="黑体"/>
          <w:b w:val="0"/>
          <w:sz w:val="32"/>
          <w:szCs w:val="32"/>
          <w:highlight w:val="none"/>
        </w:rPr>
        <w:t>第三章</w:t>
      </w:r>
      <w:r>
        <w:rPr>
          <w:rStyle w:val="16"/>
          <w:rFonts w:ascii="黑体" w:hAnsi="黑体" w:eastAsia="黑体" w:cs="黑体"/>
          <w:b w:val="0"/>
          <w:sz w:val="32"/>
          <w:szCs w:val="32"/>
          <w:highlight w:val="none"/>
        </w:rPr>
        <w:t xml:space="preserve"> </w:t>
      </w:r>
      <w:r>
        <w:rPr>
          <w:rStyle w:val="16"/>
          <w:rFonts w:hint="eastAsia" w:ascii="黑体" w:hAnsi="黑体" w:eastAsia="黑体" w:cs="黑体"/>
          <w:b w:val="0"/>
          <w:sz w:val="32"/>
          <w:szCs w:val="32"/>
          <w:highlight w:val="none"/>
        </w:rPr>
        <w:t>调节金缴纳</w:t>
      </w: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w:t>
      </w:r>
      <w:r>
        <w:rPr>
          <w:rFonts w:hint="eastAsia" w:ascii="仿宋" w:hAnsi="仿宋" w:eastAsia="仿宋" w:cs="仿宋"/>
          <w:b/>
          <w:bCs/>
          <w:szCs w:val="32"/>
          <w:highlight w:val="none"/>
          <w:lang w:val="en-US" w:eastAsia="zh-CN"/>
        </w:rPr>
        <w:t>十四</w:t>
      </w:r>
      <w:r>
        <w:rPr>
          <w:rFonts w:hint="eastAsia" w:ascii="仿宋" w:hAnsi="仿宋" w:eastAsia="仿宋" w:cs="仿宋"/>
          <w:b/>
          <w:bCs/>
          <w:szCs w:val="32"/>
          <w:highlight w:val="none"/>
        </w:rPr>
        <w:t>条</w:t>
      </w:r>
      <w:r>
        <w:rPr>
          <w:rFonts w:hint="eastAsia" w:ascii="仿宋" w:hAnsi="仿宋" w:eastAsia="仿宋" w:cs="仿宋"/>
          <w:bCs/>
          <w:szCs w:val="32"/>
          <w:highlight w:val="none"/>
        </w:rPr>
        <w:t>【缴款通知书】 调节金征收部门根据</w:t>
      </w:r>
      <w:r>
        <w:rPr>
          <w:rFonts w:hint="eastAsia" w:ascii="仿宋" w:hAnsi="仿宋" w:eastAsia="仿宋" w:cs="仿宋"/>
          <w:bCs/>
          <w:szCs w:val="32"/>
          <w:highlight w:val="none"/>
          <w:lang w:val="en-US" w:eastAsia="zh-CN"/>
        </w:rPr>
        <w:t>成本核算报告、入市（再转让）</w:t>
      </w:r>
      <w:r>
        <w:rPr>
          <w:rFonts w:hint="eastAsia" w:ascii="仿宋" w:hAnsi="仿宋" w:eastAsia="仿宋" w:cs="仿宋"/>
          <w:bCs/>
          <w:szCs w:val="32"/>
          <w:highlight w:val="none"/>
        </w:rPr>
        <w:t>合同和交易信息，核定调节金应缴金额，开具缴款通知书。缴款通知书应载明成交土地地块、面积、交易方式、用地价款（租金）总额、调节金金额、缴纳义务人和缴纳期限等。</w:t>
      </w:r>
    </w:p>
    <w:p>
      <w:pPr>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调节金征收部门应定期公示农村集体经营性建设用地成交及调节金缴纳情况。</w:t>
      </w:r>
    </w:p>
    <w:p>
      <w:pPr>
        <w:numPr>
          <w:ilvl w:val="1"/>
          <w:numId w:val="0"/>
        </w:numPr>
        <w:adjustRightInd w:val="0"/>
        <w:snapToGrid w:val="0"/>
        <w:spacing w:line="560" w:lineRule="exact"/>
        <w:ind w:firstLine="643"/>
        <w:outlineLvl w:val="9"/>
        <w:rPr>
          <w:rFonts w:hint="eastAsia" w:ascii="仿宋_GB2312" w:hAnsi="仿宋_GB2312" w:eastAsia="仿宋_GB2312" w:cs="仿宋_GB2312"/>
          <w:b/>
          <w:bCs/>
          <w:szCs w:val="32"/>
          <w:highlight w:val="none"/>
        </w:rPr>
      </w:pPr>
    </w:p>
    <w:p>
      <w:pPr>
        <w:numPr>
          <w:ilvl w:val="1"/>
          <w:numId w:val="0"/>
        </w:numPr>
        <w:adjustRightInd w:val="0"/>
        <w:snapToGrid w:val="0"/>
        <w:spacing w:line="560" w:lineRule="exact"/>
        <w:ind w:firstLine="643"/>
        <w:outlineLvl w:val="1"/>
        <w:rPr>
          <w:rFonts w:hint="eastAsia" w:ascii="仿宋" w:hAnsi="仿宋" w:eastAsia="仿宋" w:cs="仿宋"/>
          <w:bCs/>
          <w:szCs w:val="32"/>
          <w:highlight w:val="none"/>
        </w:rPr>
      </w:pPr>
      <w:r>
        <w:rPr>
          <w:rFonts w:hint="eastAsia" w:ascii="仿宋" w:hAnsi="仿宋" w:eastAsia="仿宋" w:cs="仿宋"/>
          <w:b/>
          <w:bCs/>
          <w:szCs w:val="32"/>
          <w:highlight w:val="none"/>
        </w:rPr>
        <w:t>第</w:t>
      </w:r>
      <w:r>
        <w:rPr>
          <w:rFonts w:hint="eastAsia" w:ascii="仿宋" w:hAnsi="仿宋" w:eastAsia="仿宋" w:cs="仿宋"/>
          <w:b/>
          <w:bCs/>
          <w:szCs w:val="32"/>
          <w:highlight w:val="none"/>
          <w:lang w:val="en-US" w:eastAsia="zh-CN"/>
        </w:rPr>
        <w:t>十五</w:t>
      </w:r>
      <w:r>
        <w:rPr>
          <w:rFonts w:hint="eastAsia" w:ascii="仿宋" w:hAnsi="仿宋" w:eastAsia="仿宋" w:cs="仿宋"/>
          <w:b/>
          <w:bCs/>
          <w:szCs w:val="32"/>
          <w:highlight w:val="none"/>
        </w:rPr>
        <w:t>条</w:t>
      </w:r>
      <w:r>
        <w:rPr>
          <w:rFonts w:hint="eastAsia" w:ascii="仿宋" w:hAnsi="仿宋" w:eastAsia="仿宋" w:cs="仿宋"/>
          <w:bCs/>
          <w:szCs w:val="32"/>
          <w:highlight w:val="none"/>
        </w:rPr>
        <w:t>【调节金缴纳】 调节金缴纳义务人应按合同及缴款通知书规定及时足额缴纳调节金。</w:t>
      </w:r>
    </w:p>
    <w:p>
      <w:pPr>
        <w:adjustRightInd w:val="0"/>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调节金缴纳义务人通过广东非税收入收缴一体化系统足额缴纳调节金后，可自行打印“广东省非税收入一般缴款书（电子）”。</w:t>
      </w:r>
    </w:p>
    <w:p>
      <w:pPr>
        <w:numPr>
          <w:ilvl w:val="1"/>
          <w:numId w:val="0"/>
        </w:numPr>
        <w:snapToGrid w:val="0"/>
        <w:spacing w:line="560" w:lineRule="exact"/>
        <w:ind w:firstLine="643" w:firstLineChars="200"/>
        <w:outlineLvl w:val="9"/>
        <w:rPr>
          <w:rFonts w:hint="eastAsia" w:ascii="仿宋_GB2312" w:hAnsi="仿宋_GB2312" w:eastAsia="仿宋_GB2312" w:cs="仿宋_GB2312"/>
          <w:b/>
          <w:bCs/>
          <w:szCs w:val="32"/>
          <w:highlight w:val="none"/>
        </w:rPr>
      </w:pPr>
    </w:p>
    <w:p>
      <w:pPr>
        <w:numPr>
          <w:ilvl w:val="1"/>
          <w:numId w:val="0"/>
        </w:numPr>
        <w:snapToGrid w:val="0"/>
        <w:spacing w:line="560" w:lineRule="exact"/>
        <w:ind w:firstLine="640"/>
        <w:outlineLvl w:val="1"/>
        <w:rPr>
          <w:rFonts w:hint="eastAsia" w:ascii="仿宋" w:hAnsi="仿宋" w:eastAsia="仿宋" w:cs="仿宋"/>
          <w:szCs w:val="32"/>
          <w:highlight w:val="none"/>
        </w:rPr>
      </w:pPr>
      <w:r>
        <w:rPr>
          <w:rFonts w:hint="eastAsia" w:ascii="仿宋" w:hAnsi="仿宋" w:eastAsia="仿宋" w:cs="仿宋"/>
          <w:b/>
          <w:bCs/>
          <w:szCs w:val="32"/>
          <w:highlight w:val="none"/>
        </w:rPr>
        <w:t>第</w:t>
      </w:r>
      <w:r>
        <w:rPr>
          <w:rFonts w:hint="eastAsia" w:ascii="仿宋" w:hAnsi="仿宋" w:eastAsia="仿宋" w:cs="仿宋"/>
          <w:b/>
          <w:bCs/>
          <w:szCs w:val="32"/>
          <w:highlight w:val="none"/>
          <w:lang w:val="en-US" w:eastAsia="zh-CN"/>
        </w:rPr>
        <w:t>十六</w:t>
      </w:r>
      <w:r>
        <w:rPr>
          <w:rFonts w:hint="eastAsia" w:ascii="仿宋" w:hAnsi="仿宋" w:eastAsia="仿宋" w:cs="仿宋"/>
          <w:b/>
          <w:bCs/>
          <w:szCs w:val="32"/>
          <w:highlight w:val="none"/>
        </w:rPr>
        <w:t>条</w:t>
      </w:r>
      <w:r>
        <w:rPr>
          <w:rFonts w:hint="eastAsia" w:ascii="仿宋" w:hAnsi="仿宋" w:eastAsia="仿宋" w:cs="仿宋"/>
          <w:bCs/>
          <w:szCs w:val="32"/>
          <w:highlight w:val="none"/>
        </w:rPr>
        <w:t xml:space="preserve">【不动产登记】 </w:t>
      </w:r>
      <w:r>
        <w:rPr>
          <w:rFonts w:hint="eastAsia" w:ascii="仿宋" w:hAnsi="仿宋" w:eastAsia="仿宋" w:cs="仿宋"/>
          <w:szCs w:val="32"/>
          <w:highlight w:val="none"/>
        </w:rPr>
        <w:t>调节金缴纳凭证是农村集体经营性建设用地出让和再转让办理不动产登记手续的必备要件。</w:t>
      </w:r>
    </w:p>
    <w:p>
      <w:pPr>
        <w:numPr>
          <w:ilvl w:val="1"/>
          <w:numId w:val="0"/>
        </w:numPr>
        <w:snapToGrid w:val="0"/>
        <w:spacing w:line="560" w:lineRule="exact"/>
        <w:ind w:firstLine="643" w:firstLineChars="200"/>
        <w:outlineLvl w:val="9"/>
        <w:rPr>
          <w:rFonts w:hint="eastAsia" w:ascii="仿宋_GB2312" w:hAnsi="仿宋_GB2312" w:eastAsia="仿宋_GB2312" w:cs="仿宋_GB2312"/>
          <w:b/>
          <w:bCs/>
          <w:szCs w:val="32"/>
          <w:highlight w:val="none"/>
        </w:rPr>
      </w:pP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第十</w:t>
      </w:r>
      <w:r>
        <w:rPr>
          <w:rFonts w:hint="eastAsia" w:ascii="仿宋" w:hAnsi="仿宋" w:eastAsia="仿宋" w:cs="仿宋"/>
          <w:b/>
          <w:bCs/>
          <w:szCs w:val="32"/>
          <w:highlight w:val="none"/>
          <w:lang w:val="en-US" w:eastAsia="zh-CN"/>
        </w:rPr>
        <w:t>七</w:t>
      </w:r>
      <w:r>
        <w:rPr>
          <w:rFonts w:hint="eastAsia" w:ascii="仿宋" w:hAnsi="仿宋" w:eastAsia="仿宋" w:cs="仿宋"/>
          <w:b/>
          <w:bCs/>
          <w:szCs w:val="32"/>
          <w:highlight w:val="none"/>
        </w:rPr>
        <w:t>条</w:t>
      </w:r>
      <w:r>
        <w:rPr>
          <w:rFonts w:hint="eastAsia" w:ascii="仿宋" w:hAnsi="仿宋" w:eastAsia="仿宋" w:cs="仿宋"/>
          <w:szCs w:val="32"/>
          <w:highlight w:val="none"/>
        </w:rPr>
        <w:t>【</w:t>
      </w:r>
      <w:r>
        <w:rPr>
          <w:rFonts w:hint="eastAsia" w:ascii="仿宋" w:hAnsi="仿宋" w:eastAsia="仿宋" w:cs="仿宋"/>
          <w:bCs/>
          <w:szCs w:val="32"/>
          <w:highlight w:val="none"/>
        </w:rPr>
        <w:t>调节金</w:t>
      </w:r>
      <w:r>
        <w:rPr>
          <w:rFonts w:hint="eastAsia" w:ascii="仿宋" w:hAnsi="仿宋" w:eastAsia="仿宋" w:cs="仿宋"/>
          <w:bCs/>
          <w:szCs w:val="32"/>
          <w:highlight w:val="none"/>
          <w:lang w:val="en-US" w:eastAsia="zh-CN"/>
        </w:rPr>
        <w:t>补缴</w:t>
      </w:r>
      <w:r>
        <w:rPr>
          <w:rFonts w:hint="eastAsia" w:ascii="仿宋" w:hAnsi="仿宋" w:eastAsia="仿宋" w:cs="仿宋"/>
          <w:szCs w:val="32"/>
          <w:highlight w:val="none"/>
        </w:rPr>
        <w:t>】</w:t>
      </w:r>
      <w:r>
        <w:rPr>
          <w:rFonts w:hint="eastAsia" w:ascii="仿宋" w:hAnsi="仿宋" w:eastAsia="仿宋" w:cs="仿宋"/>
          <w:bCs/>
          <w:szCs w:val="32"/>
          <w:highlight w:val="none"/>
        </w:rPr>
        <w:t xml:space="preserve"> 变更土地用途或土地使用条件（如提高容积率等）所产生土地增值需补缴土地价款的，调节金缴纳义务人应当按照本细则第七条、第十</w:t>
      </w:r>
      <w:r>
        <w:rPr>
          <w:rFonts w:hint="eastAsia" w:ascii="仿宋" w:hAnsi="仿宋" w:eastAsia="仿宋" w:cs="仿宋"/>
          <w:bCs/>
          <w:szCs w:val="32"/>
          <w:highlight w:val="none"/>
          <w:lang w:val="en-US" w:eastAsia="zh-CN"/>
        </w:rPr>
        <w:t>二</w:t>
      </w:r>
      <w:r>
        <w:rPr>
          <w:rFonts w:hint="eastAsia" w:ascii="仿宋" w:hAnsi="仿宋" w:eastAsia="仿宋" w:cs="仿宋"/>
          <w:bCs/>
          <w:szCs w:val="32"/>
          <w:highlight w:val="none"/>
        </w:rPr>
        <w:t>条规定核算、补缴调节金。</w:t>
      </w:r>
    </w:p>
    <w:p>
      <w:pPr>
        <w:numPr>
          <w:ilvl w:val="1"/>
          <w:numId w:val="0"/>
        </w:numPr>
        <w:snapToGrid w:val="0"/>
        <w:spacing w:line="560" w:lineRule="exact"/>
        <w:ind w:firstLine="643" w:firstLineChars="200"/>
        <w:outlineLvl w:val="9"/>
        <w:rPr>
          <w:rFonts w:hint="eastAsia" w:ascii="仿宋" w:hAnsi="仿宋" w:eastAsia="仿宋" w:cs="仿宋"/>
          <w:b/>
          <w:bCs/>
          <w:szCs w:val="32"/>
          <w:highlight w:val="none"/>
        </w:rPr>
      </w:pP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w:t>
      </w:r>
      <w:r>
        <w:rPr>
          <w:rFonts w:hint="eastAsia" w:ascii="仿宋" w:hAnsi="仿宋" w:eastAsia="仿宋" w:cs="仿宋"/>
          <w:b/>
          <w:bCs/>
          <w:szCs w:val="32"/>
          <w:highlight w:val="none"/>
          <w:lang w:val="en-US" w:eastAsia="zh-CN"/>
        </w:rPr>
        <w:t>十八</w:t>
      </w:r>
      <w:r>
        <w:rPr>
          <w:rFonts w:hint="eastAsia" w:ascii="仿宋" w:hAnsi="仿宋" w:eastAsia="仿宋" w:cs="仿宋"/>
          <w:b/>
          <w:bCs/>
          <w:szCs w:val="32"/>
          <w:highlight w:val="none"/>
        </w:rPr>
        <w:t>条</w:t>
      </w:r>
      <w:r>
        <w:rPr>
          <w:rFonts w:hint="eastAsia" w:ascii="仿宋" w:hAnsi="仿宋" w:eastAsia="仿宋" w:cs="仿宋"/>
          <w:bCs/>
          <w:szCs w:val="32"/>
          <w:highlight w:val="none"/>
        </w:rPr>
        <w:t>【调节金退库】 已上缴的调节金，因超额缴纳、误缴、政策调整等正当原因需要办理退库的，按照区财政部门有关规定执行。</w:t>
      </w:r>
    </w:p>
    <w:p>
      <w:pPr>
        <w:snapToGrid w:val="0"/>
        <w:spacing w:before="0" w:after="0" w:line="560" w:lineRule="exact"/>
        <w:ind w:firstLineChars="0"/>
        <w:jc w:val="center"/>
        <w:outlineLvl w:val="9"/>
        <w:rPr>
          <w:rStyle w:val="16"/>
          <w:rFonts w:hint="eastAsia" w:ascii="黑体" w:hAnsi="黑体" w:eastAsia="黑体" w:cs="黑体"/>
          <w:b w:val="0"/>
          <w:sz w:val="32"/>
          <w:szCs w:val="32"/>
          <w:highlight w:val="none"/>
        </w:rPr>
      </w:pPr>
    </w:p>
    <w:p>
      <w:pPr>
        <w:pStyle w:val="2"/>
        <w:tabs>
          <w:tab w:val="left" w:pos="0"/>
        </w:tabs>
        <w:snapToGrid w:val="0"/>
        <w:spacing w:before="0" w:after="0" w:line="560" w:lineRule="exact"/>
        <w:ind w:firstLine="0" w:firstLineChars="0"/>
        <w:jc w:val="center"/>
        <w:rPr>
          <w:rStyle w:val="16"/>
          <w:rFonts w:ascii="黑体" w:hAnsi="黑体" w:eastAsia="黑体" w:cs="黑体"/>
          <w:b w:val="0"/>
          <w:sz w:val="32"/>
          <w:szCs w:val="32"/>
          <w:highlight w:val="none"/>
        </w:rPr>
      </w:pPr>
      <w:r>
        <w:rPr>
          <w:rStyle w:val="16"/>
          <w:rFonts w:hint="eastAsia" w:ascii="黑体" w:hAnsi="黑体" w:eastAsia="黑体" w:cs="黑体"/>
          <w:b w:val="0"/>
          <w:sz w:val="32"/>
          <w:szCs w:val="32"/>
          <w:highlight w:val="none"/>
        </w:rPr>
        <w:t>第四章</w:t>
      </w:r>
      <w:r>
        <w:rPr>
          <w:rStyle w:val="16"/>
          <w:rFonts w:ascii="黑体" w:hAnsi="黑体" w:eastAsia="黑体" w:cs="黑体"/>
          <w:b w:val="0"/>
          <w:sz w:val="32"/>
          <w:szCs w:val="32"/>
          <w:highlight w:val="none"/>
        </w:rPr>
        <w:t xml:space="preserve"> 使用管理</w:t>
      </w: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w:t>
      </w:r>
      <w:r>
        <w:rPr>
          <w:rFonts w:hint="eastAsia" w:ascii="仿宋" w:hAnsi="仿宋" w:eastAsia="仿宋" w:cs="仿宋"/>
          <w:b/>
          <w:bCs/>
          <w:szCs w:val="32"/>
          <w:highlight w:val="none"/>
          <w:lang w:val="en-US" w:eastAsia="zh-CN"/>
        </w:rPr>
        <w:t>十九</w:t>
      </w:r>
      <w:r>
        <w:rPr>
          <w:rFonts w:hint="eastAsia" w:ascii="仿宋" w:hAnsi="仿宋" w:eastAsia="仿宋" w:cs="仿宋"/>
          <w:b/>
          <w:bCs/>
          <w:szCs w:val="32"/>
          <w:highlight w:val="none"/>
        </w:rPr>
        <w:t>条</w:t>
      </w:r>
      <w:r>
        <w:rPr>
          <w:rFonts w:hint="eastAsia" w:ascii="仿宋" w:hAnsi="仿宋" w:eastAsia="仿宋" w:cs="仿宋"/>
          <w:bCs/>
          <w:szCs w:val="32"/>
          <w:highlight w:val="none"/>
        </w:rPr>
        <w:t>【调节金管理】 调节金全额上缴区国库，纳入地方一般公共预算管理。试点期间，省、市不参与调节金分成。调节金具体缴库办法按照区级财政部门非税收入收缴管理有关规定执行，暂填列政府预算收支分类科目“1030717农村集体经营性建设用地增值收益调节金收入”。</w:t>
      </w:r>
    </w:p>
    <w:p>
      <w:pPr>
        <w:numPr>
          <w:ilvl w:val="1"/>
          <w:numId w:val="0"/>
        </w:numPr>
        <w:snapToGrid w:val="0"/>
        <w:spacing w:line="560" w:lineRule="exact"/>
        <w:ind w:firstLine="643" w:firstLineChars="200"/>
        <w:outlineLvl w:val="9"/>
        <w:rPr>
          <w:rFonts w:hint="eastAsia" w:ascii="仿宋_GB2312" w:hAnsi="仿宋_GB2312" w:eastAsia="仿宋_GB2312" w:cs="仿宋_GB2312"/>
          <w:b/>
          <w:bCs/>
          <w:szCs w:val="32"/>
          <w:highlight w:val="none"/>
        </w:rPr>
      </w:pP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第二十条</w:t>
      </w:r>
      <w:r>
        <w:rPr>
          <w:rFonts w:hint="eastAsia" w:ascii="仿宋" w:hAnsi="仿宋" w:eastAsia="仿宋" w:cs="仿宋"/>
          <w:bCs/>
          <w:szCs w:val="32"/>
          <w:highlight w:val="none"/>
        </w:rPr>
        <w:t>【调节金</w:t>
      </w:r>
      <w:r>
        <w:rPr>
          <w:rFonts w:hint="eastAsia" w:ascii="仿宋" w:hAnsi="仿宋" w:eastAsia="仿宋" w:cs="仿宋"/>
          <w:bCs/>
          <w:szCs w:val="32"/>
          <w:highlight w:val="none"/>
          <w:lang w:val="en-US" w:eastAsia="zh-CN"/>
        </w:rPr>
        <w:t>用途</w:t>
      </w:r>
      <w:r>
        <w:rPr>
          <w:rFonts w:hint="eastAsia" w:ascii="仿宋" w:hAnsi="仿宋" w:eastAsia="仿宋" w:cs="仿宋"/>
          <w:bCs/>
          <w:szCs w:val="32"/>
          <w:highlight w:val="none"/>
        </w:rPr>
        <w:t>】调节金可优先用于农村基础设施建设、耕地质量建设与保护，用于农村集体经营性建设用地土地开发、土地整理资金</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lang w:val="en-US" w:eastAsia="zh-CN"/>
        </w:rPr>
        <w:t>用于集体经济组织公益支出</w:t>
      </w:r>
      <w:r>
        <w:rPr>
          <w:rFonts w:hint="eastAsia" w:ascii="仿宋" w:hAnsi="仿宋" w:eastAsia="仿宋" w:cs="仿宋"/>
          <w:bCs/>
          <w:szCs w:val="32"/>
          <w:highlight w:val="none"/>
        </w:rPr>
        <w:t>。</w:t>
      </w:r>
    </w:p>
    <w:p>
      <w:pPr>
        <w:numPr>
          <w:ilvl w:val="1"/>
          <w:numId w:val="0"/>
        </w:numPr>
        <w:snapToGrid w:val="0"/>
        <w:spacing w:line="560" w:lineRule="exact"/>
        <w:ind w:firstLine="640" w:firstLineChars="200"/>
        <w:outlineLvl w:val="9"/>
        <w:rPr>
          <w:rFonts w:ascii="仿宋_GB2312" w:hAnsi="仿宋_GB2312" w:eastAsia="仿宋_GB2312" w:cs="仿宋_GB2312"/>
          <w:bCs/>
          <w:szCs w:val="32"/>
          <w:highlight w:val="none"/>
        </w:rPr>
      </w:pP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第二十</w:t>
      </w:r>
      <w:r>
        <w:rPr>
          <w:rFonts w:hint="eastAsia" w:ascii="仿宋" w:hAnsi="仿宋" w:eastAsia="仿宋" w:cs="仿宋"/>
          <w:b/>
          <w:bCs/>
          <w:szCs w:val="32"/>
          <w:highlight w:val="none"/>
          <w:lang w:val="en-US" w:eastAsia="zh-CN"/>
        </w:rPr>
        <w:t>一</w:t>
      </w:r>
      <w:r>
        <w:rPr>
          <w:rFonts w:hint="eastAsia" w:ascii="仿宋" w:hAnsi="仿宋" w:eastAsia="仿宋" w:cs="仿宋"/>
          <w:b/>
          <w:bCs/>
          <w:szCs w:val="32"/>
          <w:highlight w:val="none"/>
        </w:rPr>
        <w:t>条</w:t>
      </w:r>
      <w:r>
        <w:rPr>
          <w:rFonts w:hint="eastAsia" w:ascii="仿宋" w:hAnsi="仿宋" w:eastAsia="仿宋" w:cs="仿宋"/>
          <w:bCs/>
          <w:szCs w:val="32"/>
          <w:highlight w:val="none"/>
        </w:rPr>
        <w:t>【支付方式】 涉及调节金的资金支付事项，严格执行“收支两条线”，按照国库集中支付制度有关规定执行。</w:t>
      </w:r>
    </w:p>
    <w:p>
      <w:pPr>
        <w:snapToGrid w:val="0"/>
        <w:spacing w:before="0" w:after="0" w:line="560" w:lineRule="exact"/>
        <w:ind w:firstLineChars="0"/>
        <w:jc w:val="center"/>
        <w:outlineLvl w:val="9"/>
        <w:rPr>
          <w:rStyle w:val="16"/>
          <w:rFonts w:hint="eastAsia" w:ascii="黑体" w:hAnsi="黑体" w:eastAsia="黑体" w:cs="黑体"/>
          <w:b w:val="0"/>
          <w:sz w:val="32"/>
          <w:szCs w:val="32"/>
          <w:highlight w:val="none"/>
        </w:rPr>
      </w:pPr>
    </w:p>
    <w:p>
      <w:pPr>
        <w:pStyle w:val="2"/>
        <w:tabs>
          <w:tab w:val="left" w:pos="0"/>
        </w:tabs>
        <w:snapToGrid w:val="0"/>
        <w:spacing w:before="0" w:after="0" w:line="560" w:lineRule="exact"/>
        <w:ind w:firstLine="0" w:firstLineChars="0"/>
        <w:jc w:val="center"/>
        <w:rPr>
          <w:rStyle w:val="16"/>
          <w:rFonts w:ascii="黑体" w:hAnsi="黑体" w:eastAsia="黑体" w:cs="黑体"/>
          <w:b w:val="0"/>
          <w:sz w:val="32"/>
          <w:szCs w:val="32"/>
          <w:highlight w:val="none"/>
        </w:rPr>
      </w:pPr>
      <w:r>
        <w:rPr>
          <w:rStyle w:val="16"/>
          <w:rFonts w:hint="eastAsia" w:ascii="黑体" w:hAnsi="黑体" w:eastAsia="黑体" w:cs="黑体"/>
          <w:b w:val="0"/>
          <w:sz w:val="32"/>
          <w:szCs w:val="32"/>
          <w:highlight w:val="none"/>
        </w:rPr>
        <w:t>第五章</w:t>
      </w:r>
      <w:r>
        <w:rPr>
          <w:rStyle w:val="16"/>
          <w:rFonts w:ascii="黑体" w:hAnsi="黑体" w:eastAsia="黑体" w:cs="黑体"/>
          <w:b w:val="0"/>
          <w:sz w:val="32"/>
          <w:szCs w:val="32"/>
          <w:highlight w:val="none"/>
        </w:rPr>
        <w:t xml:space="preserve"> 监督管理</w:t>
      </w: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第二十</w:t>
      </w:r>
      <w:r>
        <w:rPr>
          <w:rFonts w:hint="eastAsia" w:ascii="仿宋" w:hAnsi="仿宋" w:eastAsia="仿宋" w:cs="仿宋"/>
          <w:b/>
          <w:bCs/>
          <w:szCs w:val="32"/>
          <w:highlight w:val="none"/>
          <w:lang w:val="en-US" w:eastAsia="zh-CN"/>
        </w:rPr>
        <w:t>二</w:t>
      </w:r>
      <w:r>
        <w:rPr>
          <w:rFonts w:hint="eastAsia" w:ascii="仿宋" w:hAnsi="仿宋" w:eastAsia="仿宋" w:cs="仿宋"/>
          <w:b/>
          <w:bCs/>
          <w:szCs w:val="32"/>
          <w:highlight w:val="none"/>
        </w:rPr>
        <w:t>条</w:t>
      </w:r>
      <w:r>
        <w:rPr>
          <w:rFonts w:hint="eastAsia" w:ascii="仿宋" w:hAnsi="仿宋" w:eastAsia="仿宋" w:cs="仿宋"/>
          <w:bCs/>
          <w:szCs w:val="32"/>
          <w:highlight w:val="none"/>
        </w:rPr>
        <w:t>【监督管理】 区财政、区规划和自然资源</w:t>
      </w:r>
      <w:r>
        <w:rPr>
          <w:rFonts w:hint="eastAsia" w:ascii="仿宋" w:hAnsi="仿宋" w:eastAsia="仿宋" w:cs="仿宋"/>
          <w:bCs/>
          <w:szCs w:val="32"/>
          <w:highlight w:val="none"/>
          <w:lang w:val="en-US" w:eastAsia="zh-CN"/>
        </w:rPr>
        <w:t>主管</w:t>
      </w:r>
      <w:r>
        <w:rPr>
          <w:rFonts w:hint="eastAsia" w:ascii="仿宋" w:hAnsi="仿宋" w:eastAsia="仿宋" w:cs="仿宋"/>
          <w:bCs/>
          <w:szCs w:val="32"/>
          <w:highlight w:val="none"/>
        </w:rPr>
        <w:t>部门应当切实加强调节金</w:t>
      </w:r>
      <w:r>
        <w:rPr>
          <w:rFonts w:hint="eastAsia" w:ascii="仿宋" w:hAnsi="仿宋" w:eastAsia="仿宋" w:cs="仿宋"/>
          <w:bCs/>
          <w:szCs w:val="32"/>
          <w:highlight w:val="none"/>
          <w:lang w:val="en-US" w:eastAsia="zh-CN"/>
        </w:rPr>
        <w:t>征收</w:t>
      </w:r>
      <w:r>
        <w:rPr>
          <w:rFonts w:hint="eastAsia" w:ascii="仿宋" w:hAnsi="仿宋" w:eastAsia="仿宋" w:cs="仿宋"/>
          <w:bCs/>
          <w:szCs w:val="32"/>
          <w:highlight w:val="none"/>
        </w:rPr>
        <w:t>监督管理，按照各自的工作职责，做好调节金</w:t>
      </w:r>
      <w:r>
        <w:rPr>
          <w:rFonts w:hint="eastAsia" w:ascii="仿宋" w:hAnsi="仿宋" w:eastAsia="仿宋" w:cs="仿宋"/>
          <w:bCs/>
          <w:szCs w:val="32"/>
          <w:highlight w:val="none"/>
          <w:lang w:val="en-US" w:eastAsia="zh-CN"/>
        </w:rPr>
        <w:t>征收</w:t>
      </w:r>
      <w:r>
        <w:rPr>
          <w:rFonts w:hint="eastAsia" w:ascii="仿宋" w:hAnsi="仿宋" w:eastAsia="仿宋" w:cs="仿宋"/>
          <w:bCs/>
          <w:szCs w:val="32"/>
          <w:highlight w:val="none"/>
        </w:rPr>
        <w:t>管理相关工作。</w:t>
      </w:r>
    </w:p>
    <w:p>
      <w:pPr>
        <w:numPr>
          <w:ilvl w:val="1"/>
          <w:numId w:val="0"/>
        </w:numPr>
        <w:snapToGrid w:val="0"/>
        <w:spacing w:line="560" w:lineRule="exact"/>
        <w:ind w:firstLine="643" w:firstLineChars="200"/>
        <w:outlineLvl w:val="9"/>
        <w:rPr>
          <w:rFonts w:hint="eastAsia" w:ascii="仿宋_GB2312" w:hAnsi="仿宋_GB2312" w:eastAsia="仿宋_GB2312" w:cs="仿宋_GB2312"/>
          <w:b/>
          <w:bCs/>
          <w:szCs w:val="32"/>
          <w:highlight w:val="none"/>
        </w:rPr>
      </w:pP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第二十</w:t>
      </w:r>
      <w:r>
        <w:rPr>
          <w:rFonts w:hint="eastAsia" w:ascii="仿宋" w:hAnsi="仿宋" w:eastAsia="仿宋" w:cs="仿宋"/>
          <w:b/>
          <w:bCs/>
          <w:szCs w:val="32"/>
          <w:highlight w:val="none"/>
          <w:lang w:val="en-US" w:eastAsia="zh-CN"/>
        </w:rPr>
        <w:t>三</w:t>
      </w:r>
      <w:r>
        <w:rPr>
          <w:rFonts w:hint="eastAsia" w:ascii="仿宋" w:hAnsi="仿宋" w:eastAsia="仿宋" w:cs="仿宋"/>
          <w:b/>
          <w:bCs/>
          <w:szCs w:val="32"/>
          <w:highlight w:val="none"/>
        </w:rPr>
        <w:t>条</w:t>
      </w:r>
      <w:r>
        <w:rPr>
          <w:rFonts w:hint="eastAsia" w:ascii="仿宋" w:hAnsi="仿宋" w:eastAsia="仿宋" w:cs="仿宋"/>
          <w:bCs/>
          <w:szCs w:val="32"/>
          <w:highlight w:val="none"/>
        </w:rPr>
        <w:t>【逾期</w:t>
      </w:r>
      <w:r>
        <w:rPr>
          <w:rFonts w:hint="eastAsia" w:ascii="仿宋" w:hAnsi="仿宋" w:eastAsia="仿宋" w:cs="仿宋"/>
          <w:bCs/>
          <w:szCs w:val="32"/>
          <w:highlight w:val="none"/>
          <w:lang w:val="en-US" w:eastAsia="zh-CN"/>
        </w:rPr>
        <w:t>处理</w:t>
      </w:r>
      <w:r>
        <w:rPr>
          <w:rFonts w:hint="eastAsia" w:ascii="仿宋" w:hAnsi="仿宋" w:eastAsia="仿宋" w:cs="仿宋"/>
          <w:bCs/>
          <w:szCs w:val="32"/>
          <w:highlight w:val="none"/>
        </w:rPr>
        <w:t>】 对于未依据缴款通知书所规定的期限和金额按时足额缴纳调节金的义务人，区财政、区规划和自然资源等相关部门有权采取必要措施，包括但不限于催缴通知、法律手段等，督促义务人及时补缴。</w:t>
      </w:r>
    </w:p>
    <w:p>
      <w:pPr>
        <w:numPr>
          <w:ilvl w:val="1"/>
          <w:numId w:val="0"/>
        </w:numPr>
        <w:snapToGrid w:val="0"/>
        <w:spacing w:line="560" w:lineRule="exact"/>
        <w:ind w:firstLine="643" w:firstLineChars="200"/>
        <w:outlineLvl w:val="9"/>
        <w:rPr>
          <w:rFonts w:hint="default" w:ascii="仿宋_GB2312" w:hAnsi="仿宋_GB2312" w:eastAsia="仿宋_GB2312" w:cs="仿宋_GB2312"/>
          <w:b/>
          <w:bCs/>
          <w:szCs w:val="32"/>
          <w:highlight w:val="none"/>
          <w:lang w:val="en-US" w:eastAsia="zh-CN"/>
        </w:rPr>
      </w:pP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第二十</w:t>
      </w:r>
      <w:r>
        <w:rPr>
          <w:rFonts w:hint="eastAsia" w:ascii="仿宋" w:hAnsi="仿宋" w:eastAsia="仿宋" w:cs="仿宋"/>
          <w:b/>
          <w:bCs/>
          <w:szCs w:val="32"/>
          <w:highlight w:val="none"/>
          <w:lang w:val="en-US" w:eastAsia="zh-CN"/>
        </w:rPr>
        <w:t>四</w:t>
      </w:r>
      <w:r>
        <w:rPr>
          <w:rFonts w:hint="eastAsia" w:ascii="仿宋" w:hAnsi="仿宋" w:eastAsia="仿宋" w:cs="仿宋"/>
          <w:b/>
          <w:bCs/>
          <w:szCs w:val="32"/>
          <w:highlight w:val="none"/>
        </w:rPr>
        <w:t>条</w:t>
      </w:r>
      <w:r>
        <w:rPr>
          <w:rFonts w:hint="eastAsia" w:ascii="仿宋" w:hAnsi="仿宋" w:eastAsia="仿宋" w:cs="仿宋"/>
          <w:bCs/>
          <w:szCs w:val="32"/>
          <w:highlight w:val="none"/>
        </w:rPr>
        <w:t>【违规责任追究】 任何单位或个人违反本细则规定，有下列情形之一的，依照《财政违法行为处罚处分条例》《违反行政事业性收费和罚没收入收支两条线管理规定行政处分暂行规定》等规定追究法律责任；涉嫌犯罪的，依法移送司法机关处理：</w:t>
      </w:r>
    </w:p>
    <w:p>
      <w:pPr>
        <w:numPr>
          <w:ilvl w:val="1"/>
          <w:numId w:val="0"/>
        </w:numPr>
        <w:snapToGrid w:val="0"/>
        <w:spacing w:line="560" w:lineRule="exact"/>
        <w:ind w:firstLine="640" w:firstLineChars="200"/>
        <w:outlineLvl w:val="9"/>
        <w:rPr>
          <w:rFonts w:hint="eastAsia" w:ascii="仿宋" w:hAnsi="仿宋" w:eastAsia="仿宋" w:cs="仿宋"/>
          <w:bCs/>
          <w:szCs w:val="32"/>
          <w:highlight w:val="none"/>
        </w:rPr>
      </w:pPr>
      <w:r>
        <w:rPr>
          <w:rFonts w:hint="eastAsia" w:ascii="仿宋" w:hAnsi="仿宋" w:eastAsia="仿宋" w:cs="仿宋"/>
          <w:bCs/>
          <w:szCs w:val="32"/>
          <w:highlight w:val="none"/>
        </w:rPr>
        <w:t>（一）擅自减免调节金或者改变调节金</w:t>
      </w:r>
      <w:r>
        <w:rPr>
          <w:rFonts w:hint="eastAsia" w:ascii="仿宋" w:hAnsi="仿宋" w:eastAsia="仿宋" w:cs="仿宋"/>
          <w:bCs/>
          <w:szCs w:val="32"/>
          <w:highlight w:val="none"/>
          <w:lang w:val="en-US" w:eastAsia="zh-CN"/>
        </w:rPr>
        <w:t>征收</w:t>
      </w:r>
      <w:r>
        <w:rPr>
          <w:rFonts w:hint="eastAsia" w:ascii="仿宋" w:hAnsi="仿宋" w:eastAsia="仿宋" w:cs="仿宋"/>
          <w:bCs/>
          <w:szCs w:val="32"/>
          <w:highlight w:val="none"/>
        </w:rPr>
        <w:t>范围、对象和标准的；</w:t>
      </w:r>
    </w:p>
    <w:p>
      <w:pPr>
        <w:numPr>
          <w:ilvl w:val="1"/>
          <w:numId w:val="0"/>
        </w:numPr>
        <w:snapToGrid w:val="0"/>
        <w:spacing w:line="560" w:lineRule="exact"/>
        <w:ind w:firstLine="640" w:firstLineChars="200"/>
        <w:outlineLvl w:val="9"/>
        <w:rPr>
          <w:rFonts w:hint="eastAsia" w:ascii="仿宋" w:hAnsi="仿宋" w:eastAsia="仿宋" w:cs="仿宋"/>
          <w:bCs/>
          <w:szCs w:val="32"/>
          <w:highlight w:val="none"/>
        </w:rPr>
      </w:pPr>
      <w:r>
        <w:rPr>
          <w:rFonts w:hint="eastAsia" w:ascii="仿宋" w:hAnsi="仿宋" w:eastAsia="仿宋" w:cs="仿宋"/>
          <w:bCs/>
          <w:szCs w:val="32"/>
          <w:highlight w:val="none"/>
        </w:rPr>
        <w:t>（二）隐瞒、坐支、私分应当上缴的调节金的；</w:t>
      </w:r>
    </w:p>
    <w:p>
      <w:pPr>
        <w:numPr>
          <w:ilvl w:val="1"/>
          <w:numId w:val="0"/>
        </w:numPr>
        <w:snapToGrid w:val="0"/>
        <w:spacing w:line="560" w:lineRule="exact"/>
        <w:ind w:firstLine="640" w:firstLineChars="200"/>
        <w:outlineLvl w:val="9"/>
        <w:rPr>
          <w:rFonts w:hint="eastAsia" w:ascii="仿宋" w:hAnsi="仿宋" w:eastAsia="仿宋" w:cs="仿宋"/>
          <w:bCs/>
          <w:szCs w:val="32"/>
          <w:highlight w:val="none"/>
        </w:rPr>
      </w:pPr>
      <w:r>
        <w:rPr>
          <w:rFonts w:hint="eastAsia" w:ascii="仿宋" w:hAnsi="仿宋" w:eastAsia="仿宋" w:cs="仿宋"/>
          <w:bCs/>
          <w:szCs w:val="32"/>
          <w:highlight w:val="none"/>
        </w:rPr>
        <w:t>（三）滞留、截留、挪用或者侵占应当上缴的调节金的；</w:t>
      </w:r>
    </w:p>
    <w:p>
      <w:pPr>
        <w:numPr>
          <w:ilvl w:val="1"/>
          <w:numId w:val="0"/>
        </w:numPr>
        <w:snapToGrid w:val="0"/>
        <w:spacing w:line="560" w:lineRule="exact"/>
        <w:ind w:firstLine="640" w:firstLineChars="200"/>
        <w:outlineLvl w:val="9"/>
        <w:rPr>
          <w:rFonts w:hint="eastAsia" w:ascii="仿宋" w:hAnsi="仿宋" w:eastAsia="仿宋" w:cs="仿宋"/>
          <w:bCs/>
          <w:szCs w:val="32"/>
          <w:highlight w:val="none"/>
        </w:rPr>
      </w:pPr>
      <w:r>
        <w:rPr>
          <w:rFonts w:hint="eastAsia" w:ascii="仿宋" w:hAnsi="仿宋" w:eastAsia="仿宋" w:cs="仿宋"/>
          <w:bCs/>
          <w:szCs w:val="32"/>
          <w:highlight w:val="none"/>
        </w:rPr>
        <w:t>（四）不按照规定的预算级次、预算科目，将调节金缴入国库的；</w:t>
      </w:r>
    </w:p>
    <w:p>
      <w:pPr>
        <w:snapToGrid w:val="0"/>
        <w:spacing w:line="560" w:lineRule="exact"/>
        <w:ind w:firstLine="640"/>
        <w:rPr>
          <w:rFonts w:hint="eastAsia" w:ascii="仿宋" w:hAnsi="仿宋" w:eastAsia="仿宋" w:cs="仿宋"/>
          <w:bCs/>
          <w:szCs w:val="32"/>
          <w:highlight w:val="none"/>
        </w:rPr>
      </w:pPr>
      <w:r>
        <w:rPr>
          <w:rFonts w:hint="eastAsia" w:ascii="仿宋" w:hAnsi="仿宋" w:eastAsia="仿宋" w:cs="仿宋"/>
          <w:bCs/>
          <w:szCs w:val="32"/>
          <w:highlight w:val="none"/>
        </w:rPr>
        <w:t>（五）其他违反国家财政收入管理规定的行为。</w:t>
      </w:r>
    </w:p>
    <w:p>
      <w:pPr>
        <w:numPr>
          <w:ilvl w:val="0"/>
          <w:numId w:val="0"/>
        </w:numPr>
        <w:adjustRightInd w:val="0"/>
        <w:snapToGrid/>
        <w:spacing w:line="560" w:lineRule="exact"/>
        <w:ind w:firstLine="480"/>
        <w:outlineLvl w:val="9"/>
        <w:rPr>
          <w:rFonts w:hint="eastAsia" w:ascii="Times New Roman" w:hAnsi="Times New Roman" w:eastAsia="楷体_GB2312" w:cs="Times New Roman"/>
          <w:sz w:val="24"/>
          <w:szCs w:val="24"/>
          <w:highlight w:val="none"/>
        </w:rPr>
      </w:pP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第二十</w:t>
      </w:r>
      <w:r>
        <w:rPr>
          <w:rFonts w:hint="eastAsia" w:ascii="仿宋" w:hAnsi="仿宋" w:eastAsia="仿宋" w:cs="仿宋"/>
          <w:b/>
          <w:bCs/>
          <w:szCs w:val="32"/>
          <w:highlight w:val="none"/>
          <w:lang w:val="en-US" w:eastAsia="zh-CN"/>
        </w:rPr>
        <w:t>五</w:t>
      </w:r>
      <w:r>
        <w:rPr>
          <w:rFonts w:hint="eastAsia" w:ascii="仿宋" w:hAnsi="仿宋" w:eastAsia="仿宋" w:cs="仿宋"/>
          <w:b/>
          <w:bCs/>
          <w:szCs w:val="32"/>
          <w:highlight w:val="none"/>
        </w:rPr>
        <w:t>条</w:t>
      </w:r>
      <w:r>
        <w:rPr>
          <w:rFonts w:hint="eastAsia" w:ascii="仿宋" w:hAnsi="仿宋" w:eastAsia="仿宋" w:cs="仿宋"/>
          <w:bCs/>
          <w:szCs w:val="32"/>
          <w:highlight w:val="none"/>
        </w:rPr>
        <w:t>【职务违规责任】 调节金征收、使用管理有关部门的工作人员违反本细则规定，在调节金征收和使用管理工作中徇私舞弊、玩忽职守、滥用职权的，依法给予处分；涉嫌犯罪的，依法移送司法机关。  </w:t>
      </w:r>
    </w:p>
    <w:p>
      <w:pPr>
        <w:pStyle w:val="33"/>
        <w:snapToGrid w:val="0"/>
        <w:spacing w:line="560" w:lineRule="exact"/>
        <w:ind w:firstLine="480"/>
        <w:rPr>
          <w:rFonts w:cs="Times New Roman"/>
          <w:highlight w:val="none"/>
        </w:rPr>
      </w:pPr>
    </w:p>
    <w:p>
      <w:pPr>
        <w:pStyle w:val="2"/>
        <w:tabs>
          <w:tab w:val="left" w:pos="0"/>
        </w:tabs>
        <w:snapToGrid w:val="0"/>
        <w:spacing w:before="0" w:after="0" w:line="560" w:lineRule="exact"/>
        <w:ind w:firstLine="0" w:firstLineChars="0"/>
        <w:jc w:val="center"/>
        <w:rPr>
          <w:rStyle w:val="16"/>
          <w:rFonts w:ascii="黑体" w:hAnsi="黑体" w:eastAsia="黑体" w:cs="黑体"/>
          <w:b w:val="0"/>
          <w:sz w:val="32"/>
          <w:highlight w:val="none"/>
        </w:rPr>
      </w:pPr>
      <w:r>
        <w:rPr>
          <w:rStyle w:val="16"/>
          <w:rFonts w:hint="eastAsia" w:ascii="黑体" w:hAnsi="黑体" w:eastAsia="黑体" w:cs="黑体"/>
          <w:b w:val="0"/>
          <w:sz w:val="32"/>
          <w:szCs w:val="32"/>
          <w:highlight w:val="none"/>
        </w:rPr>
        <w:t>第六章</w:t>
      </w:r>
      <w:r>
        <w:rPr>
          <w:rStyle w:val="16"/>
          <w:rFonts w:ascii="黑体" w:hAnsi="黑体" w:eastAsia="黑体" w:cs="黑体"/>
          <w:b w:val="0"/>
          <w:sz w:val="32"/>
          <w:szCs w:val="32"/>
          <w:highlight w:val="none"/>
        </w:rPr>
        <w:t xml:space="preserve"> </w:t>
      </w:r>
      <w:r>
        <w:rPr>
          <w:rStyle w:val="16"/>
          <w:rFonts w:hint="eastAsia" w:ascii="黑体" w:hAnsi="黑体" w:eastAsia="黑体" w:cs="宋体"/>
          <w:b w:val="0"/>
          <w:sz w:val="32"/>
          <w:highlight w:val="none"/>
        </w:rPr>
        <w:t>附</w:t>
      </w:r>
      <w:r>
        <w:rPr>
          <w:rStyle w:val="16"/>
          <w:rFonts w:ascii="黑体" w:hAnsi="黑体" w:eastAsia="黑体"/>
          <w:b w:val="0"/>
          <w:sz w:val="32"/>
          <w:highlight w:val="none"/>
        </w:rPr>
        <w:t xml:space="preserve">  </w:t>
      </w:r>
      <w:r>
        <w:rPr>
          <w:rStyle w:val="16"/>
          <w:rFonts w:hint="eastAsia" w:ascii="黑体" w:hAnsi="黑体" w:eastAsia="黑体" w:cs="宋体"/>
          <w:b w:val="0"/>
          <w:sz w:val="32"/>
          <w:highlight w:val="none"/>
        </w:rPr>
        <w:t>则</w:t>
      </w:r>
    </w:p>
    <w:p>
      <w:pPr>
        <w:numPr>
          <w:ilvl w:val="1"/>
          <w:numId w:val="0"/>
        </w:numPr>
        <w:snapToGrid w:val="0"/>
        <w:spacing w:line="560" w:lineRule="exact"/>
        <w:ind w:firstLine="643" w:firstLineChars="200"/>
        <w:outlineLvl w:val="1"/>
        <w:rPr>
          <w:rFonts w:hint="eastAsia" w:ascii="仿宋" w:hAnsi="仿宋" w:eastAsia="仿宋" w:cs="仿宋"/>
          <w:bCs/>
          <w:szCs w:val="32"/>
          <w:highlight w:val="none"/>
        </w:rPr>
      </w:pPr>
      <w:r>
        <w:rPr>
          <w:rFonts w:hint="eastAsia" w:ascii="仿宋" w:hAnsi="仿宋" w:eastAsia="仿宋" w:cs="仿宋"/>
          <w:b/>
          <w:bCs/>
          <w:szCs w:val="32"/>
          <w:highlight w:val="none"/>
        </w:rPr>
        <w:t>第二十</w:t>
      </w:r>
      <w:r>
        <w:rPr>
          <w:rFonts w:hint="eastAsia" w:ascii="仿宋" w:hAnsi="仿宋" w:eastAsia="仿宋" w:cs="仿宋"/>
          <w:b/>
          <w:bCs/>
          <w:szCs w:val="32"/>
          <w:highlight w:val="none"/>
          <w:lang w:val="en-US" w:eastAsia="zh-CN"/>
        </w:rPr>
        <w:t>六</w:t>
      </w:r>
      <w:r>
        <w:rPr>
          <w:rFonts w:hint="eastAsia" w:ascii="仿宋" w:hAnsi="仿宋" w:eastAsia="仿宋" w:cs="仿宋"/>
          <w:b/>
          <w:bCs/>
          <w:szCs w:val="32"/>
          <w:highlight w:val="none"/>
        </w:rPr>
        <w:t>条</w:t>
      </w:r>
      <w:r>
        <w:rPr>
          <w:rFonts w:hint="eastAsia" w:ascii="仿宋" w:hAnsi="仿宋" w:eastAsia="仿宋" w:cs="仿宋"/>
          <w:bCs/>
          <w:szCs w:val="32"/>
          <w:highlight w:val="none"/>
        </w:rPr>
        <w:t>【有效期】 本细则自印发之日起试行，有效期至2024年12月31日。在试行期间，若</w:t>
      </w:r>
      <w:r>
        <w:rPr>
          <w:rFonts w:hint="eastAsia" w:ascii="仿宋" w:hAnsi="仿宋" w:eastAsia="仿宋" w:cs="仿宋"/>
          <w:bCs/>
          <w:szCs w:val="32"/>
          <w:highlight w:val="none"/>
          <w:lang w:val="en-US" w:eastAsia="zh-CN"/>
        </w:rPr>
        <w:t>法律、法规、规章、政策文件另有规定的</w:t>
      </w:r>
      <w:r>
        <w:rPr>
          <w:rFonts w:hint="eastAsia" w:ascii="仿宋" w:hAnsi="仿宋" w:eastAsia="仿宋" w:cs="仿宋"/>
          <w:bCs/>
          <w:szCs w:val="32"/>
          <w:highlight w:val="none"/>
        </w:rPr>
        <w:t>，</w:t>
      </w:r>
      <w:r>
        <w:rPr>
          <w:rFonts w:hint="eastAsia" w:ascii="仿宋" w:hAnsi="仿宋" w:eastAsia="仿宋" w:cs="仿宋"/>
          <w:bCs/>
          <w:szCs w:val="32"/>
          <w:highlight w:val="none"/>
          <w:lang w:val="en-US" w:eastAsia="zh-CN"/>
        </w:rPr>
        <w:t>从其规定</w:t>
      </w:r>
      <w:r>
        <w:rPr>
          <w:rFonts w:hint="eastAsia" w:ascii="仿宋" w:hAnsi="仿宋" w:eastAsia="仿宋" w:cs="仿宋"/>
          <w:bCs/>
          <w:szCs w:val="32"/>
          <w:highlight w:val="none"/>
        </w:rPr>
        <w:t>。本细则有效期届满或遇法规、上级政策调整的，根据实施情况依法评估修订。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b w:val="0"/>
          <w:snapToGrid/>
          <w:color w:val="auto"/>
          <w:spacing w:val="0"/>
          <w:kern w:val="21"/>
          <w:sz w:val="32"/>
          <w:szCs w:val="32"/>
          <w:shd w:val="clear" w:color="auto" w:fill="FFFFFF"/>
          <w:lang w:eastAsia="zh-CN"/>
        </w:rPr>
      </w:pPr>
    </w:p>
    <w:p>
      <w:pPr>
        <w:keepNext w:val="0"/>
        <w:keepLines w:val="0"/>
        <w:pageBreakBefore w:val="0"/>
        <w:widowControl/>
        <w:numPr>
          <w:ilvl w:val="1"/>
          <w:numId w:val="0"/>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1"/>
        <w:rPr>
          <w:rFonts w:hint="eastAsia" w:ascii="仿宋" w:hAnsi="仿宋" w:eastAsia="仿宋" w:cs="仿宋"/>
          <w:b w:val="0"/>
          <w:bCs/>
          <w:snapToGrid/>
          <w:spacing w:val="0"/>
          <w:kern w:val="2"/>
          <w:sz w:val="32"/>
          <w:szCs w:val="32"/>
          <w:highlight w:val="none"/>
          <w:shd w:val="clear"/>
        </w:rPr>
      </w:pPr>
      <w:r>
        <w:rPr>
          <w:rFonts w:hint="eastAsia" w:ascii="仿宋" w:hAnsi="仿宋" w:eastAsia="仿宋" w:cs="仿宋"/>
          <w:b w:val="0"/>
          <w:bCs/>
          <w:snapToGrid/>
          <w:spacing w:val="0"/>
          <w:kern w:val="2"/>
          <w:sz w:val="32"/>
          <w:szCs w:val="32"/>
          <w:highlight w:val="none"/>
          <w:shd w:val="clear"/>
          <w:lang w:eastAsia="zh-CN"/>
        </w:rPr>
        <w:t>附</w:t>
      </w:r>
      <w:r>
        <w:rPr>
          <w:rFonts w:hint="eastAsia" w:ascii="仿宋" w:hAnsi="仿宋" w:eastAsia="仿宋" w:cs="仿宋"/>
          <w:b w:val="0"/>
          <w:bCs/>
          <w:snapToGrid/>
          <w:spacing w:val="0"/>
          <w:kern w:val="2"/>
          <w:sz w:val="32"/>
          <w:szCs w:val="32"/>
          <w:highlight w:val="none"/>
          <w:shd w:val="clear"/>
          <w:lang w:val="en-US" w:eastAsia="zh-CN"/>
        </w:rPr>
        <w:t>表</w:t>
      </w:r>
      <w:r>
        <w:rPr>
          <w:rFonts w:hint="eastAsia" w:ascii="仿宋" w:hAnsi="仿宋" w:eastAsia="仿宋" w:cs="仿宋"/>
          <w:b w:val="0"/>
          <w:bCs/>
          <w:snapToGrid/>
          <w:spacing w:val="0"/>
          <w:kern w:val="2"/>
          <w:sz w:val="32"/>
          <w:szCs w:val="32"/>
          <w:highlight w:val="none"/>
          <w:shd w:val="clear"/>
        </w:rPr>
        <w:t>：</w:t>
      </w:r>
      <w:r>
        <w:rPr>
          <w:rFonts w:hint="eastAsia" w:ascii="仿宋" w:hAnsi="仿宋" w:eastAsia="仿宋" w:cs="仿宋"/>
          <w:b w:val="0"/>
          <w:bCs/>
          <w:snapToGrid/>
          <w:spacing w:val="0"/>
          <w:kern w:val="2"/>
          <w:sz w:val="32"/>
          <w:szCs w:val="32"/>
          <w:highlight w:val="none"/>
          <w:shd w:val="clear"/>
          <w:lang w:val="en-US" w:eastAsia="zh-CN"/>
        </w:rPr>
        <w:t>近五年花都区国有建设用地出让平均价</w:t>
      </w:r>
      <w:r>
        <w:rPr>
          <w:rFonts w:hint="eastAsia" w:ascii="仿宋" w:hAnsi="仿宋" w:eastAsia="仿宋" w:cs="仿宋"/>
          <w:b w:val="0"/>
          <w:bCs/>
          <w:snapToGrid/>
          <w:spacing w:val="0"/>
          <w:kern w:val="2"/>
          <w:sz w:val="32"/>
          <w:szCs w:val="32"/>
          <w:highlight w:val="none"/>
          <w:shd w:val="clear"/>
        </w:rPr>
        <w:t>表</w:t>
      </w:r>
    </w:p>
    <w:p>
      <w:pPr>
        <w:numPr>
          <w:ilvl w:val="1"/>
          <w:numId w:val="0"/>
        </w:numPr>
        <w:snapToGrid w:val="0"/>
        <w:spacing w:line="560" w:lineRule="exact"/>
        <w:ind w:firstLine="0" w:firstLineChars="0"/>
        <w:outlineLvl w:val="9"/>
        <w:rPr>
          <w:rFonts w:hint="eastAsia" w:ascii="Times New Roman" w:hAnsi="Times New Roman" w:eastAsia="楷体_GB2312" w:cs="Times New Roman"/>
          <w:bCs w:val="0"/>
          <w:sz w:val="24"/>
          <w:szCs w:val="24"/>
          <w:highlight w:val="none"/>
        </w:rPr>
      </w:pPr>
    </w:p>
    <w:p>
      <w:pPr>
        <w:spacing w:line="240" w:lineRule="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br w:type="page"/>
      </w:r>
    </w:p>
    <w:p>
      <w:pPr>
        <w:keepNext w:val="0"/>
        <w:keepLines w:val="0"/>
        <w:widowControl/>
        <w:suppressLineNumbers w:val="0"/>
        <w:ind w:firstLine="0" w:firstLineChars="0"/>
        <w:jc w:val="left"/>
      </w:pPr>
      <w:r>
        <w:rPr>
          <w:rFonts w:ascii="黑体" w:hAnsi="宋体" w:eastAsia="黑体" w:cs="黑体"/>
          <w:color w:val="000000"/>
          <w:kern w:val="0"/>
          <w:sz w:val="31"/>
          <w:szCs w:val="31"/>
          <w:lang w:val="en-US" w:eastAsia="zh-CN" w:bidi="ar"/>
        </w:rPr>
        <w:t xml:space="preserve">附表 </w:t>
      </w:r>
    </w:p>
    <w:p>
      <w:pPr>
        <w:keepNext w:val="0"/>
        <w:keepLines w:val="0"/>
        <w:widowControl/>
        <w:suppressLineNumbers w:val="0"/>
        <w:ind w:firstLine="0" w:firstLineChars="0"/>
        <w:jc w:val="center"/>
        <w:rPr>
          <w:rFonts w:hint="eastAsia" w:ascii="方正小标宋简体" w:hAnsi="方正小标宋简体" w:eastAsia="方正小标宋简体" w:cs="方正小标宋简体"/>
          <w:b/>
          <w:bCs/>
          <w:color w:val="000000"/>
          <w:kern w:val="0"/>
          <w:sz w:val="31"/>
          <w:szCs w:val="31"/>
          <w:lang w:eastAsia="zh-CN" w:bidi="ar"/>
        </w:rPr>
      </w:pPr>
      <w:r>
        <w:rPr>
          <w:rFonts w:hint="eastAsia" w:ascii="方正小标宋简体" w:hAnsi="方正小标宋简体" w:eastAsia="方正小标宋简体" w:cs="方正小标宋简体"/>
          <w:b/>
          <w:bCs/>
          <w:color w:val="000000"/>
          <w:kern w:val="0"/>
          <w:sz w:val="31"/>
          <w:szCs w:val="31"/>
          <w:lang w:bidi="ar"/>
        </w:rPr>
        <w:t>近五年花都区国有建设用地出让平均价表</w:t>
      </w:r>
      <w:r>
        <w:rPr>
          <w:rFonts w:hint="eastAsia" w:ascii="方正小标宋简体" w:hAnsi="方正小标宋简体" w:eastAsia="方正小标宋简体" w:cs="方正小标宋简体"/>
          <w:b/>
          <w:bCs/>
          <w:color w:val="000000"/>
          <w:kern w:val="0"/>
          <w:sz w:val="31"/>
          <w:szCs w:val="31"/>
          <w:lang w:eastAsia="zh-CN" w:bidi="ar"/>
        </w:rPr>
        <w:t>（</w:t>
      </w:r>
      <w:r>
        <w:rPr>
          <w:rFonts w:hint="eastAsia" w:ascii="方正小标宋简体" w:hAnsi="方正小标宋简体" w:eastAsia="方正小标宋简体" w:cs="方正小标宋简体"/>
          <w:b/>
          <w:bCs/>
          <w:color w:val="000000"/>
          <w:kern w:val="0"/>
          <w:sz w:val="31"/>
          <w:szCs w:val="31"/>
          <w:lang w:val="en-US" w:eastAsia="zh-CN" w:bidi="ar"/>
        </w:rPr>
        <w:t>2019年-2023年</w:t>
      </w:r>
      <w:r>
        <w:rPr>
          <w:rFonts w:hint="eastAsia" w:ascii="方正小标宋简体" w:hAnsi="方正小标宋简体" w:eastAsia="方正小标宋简体" w:cs="方正小标宋简体"/>
          <w:b/>
          <w:bCs/>
          <w:color w:val="000000"/>
          <w:kern w:val="0"/>
          <w:sz w:val="31"/>
          <w:szCs w:val="31"/>
          <w:lang w:eastAsia="zh-CN" w:bidi="ar"/>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97"/>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jc w:val="center"/>
        </w:trPr>
        <w:tc>
          <w:tcPr>
            <w:tcW w:w="2063" w:type="dxa"/>
            <w:shd w:val="clear" w:color="auto" w:fill="D7D7D7" w:themeFill="background1" w:themeFillShade="D8"/>
            <w:noWrap w:val="0"/>
            <w:vAlign w:val="center"/>
          </w:tcPr>
          <w:p>
            <w:pPr>
              <w:widowControl/>
              <w:numPr>
                <w:ilvl w:val="1"/>
                <w:numId w:val="0"/>
              </w:numPr>
              <w:snapToGrid w:val="0"/>
              <w:spacing w:line="560" w:lineRule="exact"/>
              <w:ind w:firstLine="0" w:firstLineChars="0"/>
              <w:jc w:val="center"/>
              <w:outlineLvl w:val="1"/>
              <w:rPr>
                <w:rFonts w:hint="eastAsia" w:ascii="仿宋" w:hAnsi="仿宋" w:eastAsia="仿宋" w:cs="仿宋"/>
                <w:b/>
                <w:bCs w:val="0"/>
                <w:kern w:val="2"/>
                <w:sz w:val="32"/>
                <w:szCs w:val="32"/>
                <w:highlight w:val="none"/>
              </w:rPr>
            </w:pPr>
            <w:r>
              <w:rPr>
                <w:rFonts w:hint="eastAsia" w:ascii="仿宋" w:hAnsi="仿宋" w:eastAsia="仿宋" w:cs="仿宋"/>
                <w:b/>
                <w:bCs w:val="0"/>
                <w:kern w:val="2"/>
                <w:sz w:val="32"/>
                <w:szCs w:val="32"/>
                <w:highlight w:val="none"/>
              </w:rPr>
              <w:t>地块用途</w:t>
            </w:r>
          </w:p>
        </w:tc>
        <w:tc>
          <w:tcPr>
            <w:tcW w:w="1797" w:type="dxa"/>
            <w:shd w:val="clear" w:color="auto" w:fill="D7D7D7" w:themeFill="background1" w:themeFillShade="D8"/>
            <w:noWrap w:val="0"/>
            <w:vAlign w:val="center"/>
          </w:tcPr>
          <w:p>
            <w:pPr>
              <w:widowControl/>
              <w:numPr>
                <w:ilvl w:val="1"/>
                <w:numId w:val="0"/>
              </w:numPr>
              <w:snapToGrid w:val="0"/>
              <w:spacing w:line="560" w:lineRule="exact"/>
              <w:ind w:firstLine="0" w:firstLineChars="0"/>
              <w:jc w:val="center"/>
              <w:outlineLvl w:val="1"/>
              <w:rPr>
                <w:rFonts w:hint="eastAsia" w:ascii="仿宋" w:hAnsi="仿宋" w:eastAsia="仿宋" w:cs="仿宋"/>
                <w:b/>
                <w:bCs w:val="0"/>
                <w:kern w:val="2"/>
                <w:sz w:val="32"/>
                <w:szCs w:val="32"/>
                <w:highlight w:val="none"/>
              </w:rPr>
            </w:pPr>
            <w:r>
              <w:rPr>
                <w:rFonts w:hint="eastAsia" w:ascii="仿宋" w:hAnsi="仿宋" w:eastAsia="仿宋" w:cs="仿宋"/>
                <w:b/>
                <w:bCs w:val="0"/>
                <w:kern w:val="2"/>
                <w:sz w:val="32"/>
                <w:szCs w:val="32"/>
                <w:highlight w:val="none"/>
              </w:rPr>
              <w:t>地价类型</w:t>
            </w:r>
          </w:p>
        </w:tc>
        <w:tc>
          <w:tcPr>
            <w:tcW w:w="4434" w:type="dxa"/>
            <w:shd w:val="clear" w:color="auto" w:fill="D7D7D7" w:themeFill="background1" w:themeFillShade="D8"/>
            <w:noWrap w:val="0"/>
            <w:vAlign w:val="center"/>
          </w:tcPr>
          <w:p>
            <w:pPr>
              <w:widowControl/>
              <w:numPr>
                <w:ilvl w:val="1"/>
                <w:numId w:val="0"/>
              </w:numPr>
              <w:snapToGrid w:val="0"/>
              <w:spacing w:line="560" w:lineRule="exact"/>
              <w:ind w:firstLine="0" w:firstLineChars="0"/>
              <w:jc w:val="center"/>
              <w:outlineLvl w:val="1"/>
              <w:rPr>
                <w:rFonts w:hint="eastAsia" w:ascii="仿宋" w:hAnsi="仿宋" w:eastAsia="仿宋" w:cs="仿宋"/>
                <w:b/>
                <w:bCs w:val="0"/>
                <w:kern w:val="2"/>
                <w:sz w:val="32"/>
                <w:szCs w:val="32"/>
                <w:highlight w:val="none"/>
              </w:rPr>
            </w:pPr>
            <w:r>
              <w:rPr>
                <w:rFonts w:hint="eastAsia" w:ascii="仿宋" w:hAnsi="仿宋" w:eastAsia="仿宋" w:cs="仿宋"/>
                <w:b/>
                <w:bCs w:val="0"/>
                <w:kern w:val="2"/>
                <w:sz w:val="32"/>
                <w:szCs w:val="32"/>
                <w:highlight w:val="none"/>
              </w:rPr>
              <w:t>近五年平均地价（元/</w:t>
            </w:r>
            <w:r>
              <w:rPr>
                <w:rFonts w:hint="eastAsia" w:ascii="仿宋" w:hAnsi="仿宋" w:eastAsia="仿宋" w:cs="仿宋"/>
                <w:b/>
                <w:bCs w:val="0"/>
                <w:kern w:val="2"/>
                <w:sz w:val="32"/>
                <w:szCs w:val="32"/>
                <w:highlight w:val="none"/>
                <w:lang w:val="en-US" w:eastAsia="zh-CN"/>
              </w:rPr>
              <w:t>平方米</w:t>
            </w:r>
            <w:r>
              <w:rPr>
                <w:rFonts w:hint="eastAsia" w:ascii="仿宋" w:hAnsi="仿宋" w:eastAsia="仿宋" w:cs="仿宋"/>
                <w:b/>
                <w:bCs w:val="0"/>
                <w:kern w:val="2"/>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9" w:hRule="atLeast"/>
          <w:jc w:val="center"/>
        </w:trPr>
        <w:tc>
          <w:tcPr>
            <w:tcW w:w="2063" w:type="dxa"/>
            <w:noWrap w:val="0"/>
            <w:vAlign w:val="center"/>
          </w:tcPr>
          <w:p>
            <w:pPr>
              <w:widowControl/>
              <w:numPr>
                <w:ilvl w:val="1"/>
                <w:numId w:val="0"/>
              </w:numPr>
              <w:snapToGrid w:val="0"/>
              <w:spacing w:line="560" w:lineRule="exact"/>
              <w:ind w:firstLine="0" w:firstLineChars="0"/>
              <w:jc w:val="center"/>
              <w:outlineLvl w:val="1"/>
              <w:rPr>
                <w:rFonts w:hint="eastAsia" w:ascii="仿宋" w:hAnsi="仿宋" w:eastAsia="仿宋" w:cs="仿宋"/>
                <w:bCs/>
                <w:kern w:val="2"/>
                <w:sz w:val="32"/>
                <w:szCs w:val="32"/>
                <w:highlight w:val="none"/>
              </w:rPr>
            </w:pPr>
            <w:r>
              <w:rPr>
                <w:rFonts w:hint="eastAsia" w:ascii="仿宋" w:hAnsi="仿宋" w:eastAsia="仿宋" w:cs="仿宋"/>
                <w:bCs/>
                <w:kern w:val="2"/>
                <w:sz w:val="32"/>
                <w:szCs w:val="32"/>
                <w:highlight w:val="none"/>
              </w:rPr>
              <w:t>商业用途</w:t>
            </w:r>
          </w:p>
        </w:tc>
        <w:tc>
          <w:tcPr>
            <w:tcW w:w="1797" w:type="dxa"/>
            <w:noWrap w:val="0"/>
            <w:vAlign w:val="center"/>
          </w:tcPr>
          <w:p>
            <w:pPr>
              <w:widowControl/>
              <w:numPr>
                <w:ilvl w:val="1"/>
                <w:numId w:val="0"/>
              </w:numPr>
              <w:snapToGrid w:val="0"/>
              <w:spacing w:line="560" w:lineRule="exact"/>
              <w:ind w:firstLine="0" w:firstLineChars="0"/>
              <w:jc w:val="center"/>
              <w:outlineLvl w:val="1"/>
              <w:rPr>
                <w:rFonts w:hint="eastAsia" w:ascii="仿宋" w:hAnsi="仿宋" w:eastAsia="仿宋" w:cs="仿宋"/>
                <w:bCs/>
                <w:kern w:val="2"/>
                <w:sz w:val="32"/>
                <w:szCs w:val="32"/>
                <w:highlight w:val="none"/>
              </w:rPr>
            </w:pPr>
            <w:r>
              <w:rPr>
                <w:rFonts w:hint="eastAsia" w:ascii="仿宋" w:hAnsi="仿宋" w:eastAsia="仿宋" w:cs="仿宋"/>
                <w:bCs/>
                <w:kern w:val="2"/>
                <w:sz w:val="32"/>
                <w:szCs w:val="32"/>
                <w:highlight w:val="none"/>
              </w:rPr>
              <w:t>楼面地价</w:t>
            </w:r>
          </w:p>
        </w:tc>
        <w:tc>
          <w:tcPr>
            <w:tcW w:w="4434" w:type="dxa"/>
            <w:noWrap w:val="0"/>
            <w:vAlign w:val="center"/>
          </w:tcPr>
          <w:p>
            <w:pPr>
              <w:widowControl/>
              <w:numPr>
                <w:ilvl w:val="1"/>
                <w:numId w:val="0"/>
              </w:numPr>
              <w:snapToGrid w:val="0"/>
              <w:spacing w:line="560" w:lineRule="exact"/>
              <w:ind w:firstLine="0" w:firstLineChars="0"/>
              <w:jc w:val="center"/>
              <w:outlineLvl w:val="1"/>
              <w:rPr>
                <w:rFonts w:hint="eastAsia" w:ascii="仿宋" w:hAnsi="仿宋" w:eastAsia="仿宋" w:cs="仿宋"/>
                <w:bCs/>
                <w:kern w:val="2"/>
                <w:sz w:val="32"/>
                <w:szCs w:val="32"/>
                <w:highlight w:val="none"/>
              </w:rPr>
            </w:pPr>
            <w:r>
              <w:rPr>
                <w:rFonts w:hint="eastAsia" w:ascii="仿宋" w:hAnsi="仿宋" w:eastAsia="仿宋" w:cs="仿宋"/>
                <w:bCs/>
                <w:kern w:val="2"/>
                <w:sz w:val="32"/>
                <w:szCs w:val="32"/>
                <w:highlight w:val="none"/>
              </w:rPr>
              <w:t>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 w:hRule="atLeast"/>
          <w:jc w:val="center"/>
        </w:trPr>
        <w:tc>
          <w:tcPr>
            <w:tcW w:w="2063" w:type="dxa"/>
            <w:noWrap w:val="0"/>
            <w:vAlign w:val="center"/>
          </w:tcPr>
          <w:p>
            <w:pPr>
              <w:widowControl/>
              <w:numPr>
                <w:ilvl w:val="1"/>
                <w:numId w:val="0"/>
              </w:numPr>
              <w:snapToGrid w:val="0"/>
              <w:spacing w:line="560" w:lineRule="exact"/>
              <w:ind w:firstLine="0" w:firstLineChars="0"/>
              <w:jc w:val="center"/>
              <w:outlineLvl w:val="1"/>
              <w:rPr>
                <w:rFonts w:hint="eastAsia" w:ascii="仿宋" w:hAnsi="仿宋" w:eastAsia="仿宋" w:cs="仿宋"/>
                <w:bCs/>
                <w:kern w:val="2"/>
                <w:sz w:val="32"/>
                <w:szCs w:val="32"/>
                <w:highlight w:val="none"/>
              </w:rPr>
            </w:pPr>
            <w:r>
              <w:rPr>
                <w:rFonts w:hint="eastAsia" w:ascii="仿宋" w:hAnsi="仿宋" w:eastAsia="仿宋" w:cs="仿宋"/>
                <w:bCs/>
                <w:kern w:val="2"/>
                <w:sz w:val="32"/>
                <w:szCs w:val="32"/>
                <w:highlight w:val="none"/>
              </w:rPr>
              <w:t>工业用途</w:t>
            </w:r>
          </w:p>
        </w:tc>
        <w:tc>
          <w:tcPr>
            <w:tcW w:w="1797" w:type="dxa"/>
            <w:noWrap w:val="0"/>
            <w:vAlign w:val="center"/>
          </w:tcPr>
          <w:p>
            <w:pPr>
              <w:widowControl/>
              <w:numPr>
                <w:ilvl w:val="1"/>
                <w:numId w:val="0"/>
              </w:numPr>
              <w:snapToGrid w:val="0"/>
              <w:spacing w:line="560" w:lineRule="exact"/>
              <w:ind w:firstLine="0" w:firstLineChars="0"/>
              <w:jc w:val="center"/>
              <w:outlineLvl w:val="1"/>
              <w:rPr>
                <w:rFonts w:hint="eastAsia" w:ascii="仿宋" w:hAnsi="仿宋" w:eastAsia="仿宋" w:cs="仿宋"/>
                <w:bCs/>
                <w:kern w:val="2"/>
                <w:sz w:val="32"/>
                <w:szCs w:val="32"/>
                <w:highlight w:val="none"/>
              </w:rPr>
            </w:pPr>
            <w:r>
              <w:rPr>
                <w:rFonts w:hint="eastAsia" w:ascii="仿宋" w:hAnsi="仿宋" w:eastAsia="仿宋" w:cs="仿宋"/>
                <w:bCs/>
                <w:kern w:val="2"/>
                <w:sz w:val="32"/>
                <w:szCs w:val="32"/>
                <w:highlight w:val="none"/>
              </w:rPr>
              <w:t>地面地价</w:t>
            </w:r>
          </w:p>
        </w:tc>
        <w:tc>
          <w:tcPr>
            <w:tcW w:w="4434" w:type="dxa"/>
            <w:noWrap w:val="0"/>
            <w:vAlign w:val="center"/>
          </w:tcPr>
          <w:p>
            <w:pPr>
              <w:widowControl/>
              <w:numPr>
                <w:ilvl w:val="1"/>
                <w:numId w:val="0"/>
              </w:numPr>
              <w:snapToGrid w:val="0"/>
              <w:spacing w:line="560" w:lineRule="exact"/>
              <w:ind w:firstLine="0" w:firstLineChars="0"/>
              <w:jc w:val="center"/>
              <w:outlineLvl w:val="1"/>
              <w:rPr>
                <w:rFonts w:hint="eastAsia" w:ascii="仿宋" w:hAnsi="仿宋" w:eastAsia="仿宋" w:cs="仿宋"/>
                <w:bCs/>
                <w:kern w:val="2"/>
                <w:sz w:val="32"/>
                <w:szCs w:val="32"/>
                <w:highlight w:val="none"/>
              </w:rPr>
            </w:pPr>
            <w:r>
              <w:rPr>
                <w:rFonts w:hint="eastAsia" w:ascii="仿宋" w:hAnsi="仿宋" w:eastAsia="仿宋" w:cs="仿宋"/>
                <w:bCs/>
                <w:kern w:val="2"/>
                <w:sz w:val="32"/>
                <w:szCs w:val="32"/>
                <w:highlight w:val="none"/>
              </w:rPr>
              <w:t>1693</w:t>
            </w:r>
          </w:p>
        </w:tc>
      </w:tr>
    </w:tbl>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31"/>
          <w:szCs w:val="31"/>
          <w:lang w:bidi="ar"/>
        </w:rPr>
      </w:pPr>
    </w:p>
    <w:p>
      <w:pPr>
        <w:snapToGrid/>
        <w:spacing w:after="156" w:afterLines="50" w:line="580" w:lineRule="exact"/>
        <w:ind w:firstLine="0" w:firstLineChars="0"/>
        <w:jc w:val="center"/>
        <w:rPr>
          <w:rFonts w:hint="eastAsia" w:ascii="方正小标宋简体" w:hAnsi="方正小标宋简体" w:eastAsia="方正小标宋简体" w:cs="方正小标宋简体"/>
          <w:color w:val="000000"/>
          <w:sz w:val="44"/>
          <w:szCs w:val="44"/>
          <w:lang w:val="en-US" w:eastAsia="zh-CN"/>
        </w:rPr>
      </w:pPr>
    </w:p>
    <w:p>
      <w:pPr>
        <w:snapToGrid/>
        <w:spacing w:after="156" w:afterLines="50" w:line="580" w:lineRule="exact"/>
        <w:ind w:firstLine="0" w:firstLineChars="0"/>
        <w:jc w:val="center"/>
        <w:rPr>
          <w:rFonts w:hint="default" w:ascii="方正小标宋简体" w:hAnsi="方正小标宋简体" w:eastAsia="方正小标宋简体" w:cs="方正小标宋简体"/>
          <w:color w:val="000000"/>
          <w:sz w:val="44"/>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8297EF-C10F-4393-9822-A312383F5F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字体">
    <w:altName w:val="宋体"/>
    <w:panose1 w:val="00000000000000000000"/>
    <w:charset w:val="86"/>
    <w:family w:val="roman"/>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E617CF72-D9A4-4243-A9D4-E24E1AFA0F44}"/>
  </w:font>
  <w:font w:name="仿宋_GB2312">
    <w:panose1 w:val="02010609030101010101"/>
    <w:charset w:val="86"/>
    <w:family w:val="modern"/>
    <w:pitch w:val="default"/>
    <w:sig w:usb0="00000001" w:usb1="080E0000" w:usb2="00000000" w:usb3="00000000" w:csb0="00040000" w:csb1="00000000"/>
    <w:embedRegular r:id="rId3" w:fontKey="{A05CEC2C-3004-4CEF-9E89-96DEBD2CB952}"/>
  </w:font>
  <w:font w:name="方正小标宋简体">
    <w:panose1 w:val="03000509000000000000"/>
    <w:charset w:val="86"/>
    <w:family w:val="script"/>
    <w:pitch w:val="default"/>
    <w:sig w:usb0="00000001" w:usb1="080E0000" w:usb2="00000000" w:usb3="00000000" w:csb0="00040000" w:csb1="00000000"/>
    <w:embedRegular r:id="rId4" w:fontKey="{6820D8B7-1D0C-4AEA-B9DE-3279678CB874}"/>
  </w:font>
  <w:font w:name="楷体">
    <w:panose1 w:val="02010609060101010101"/>
    <w:charset w:val="86"/>
    <w:family w:val="modern"/>
    <w:pitch w:val="default"/>
    <w:sig w:usb0="800002BF" w:usb1="38CF7CFA" w:usb2="00000016" w:usb3="00000000" w:csb0="00040001" w:csb1="00000000"/>
    <w:embedRegular r:id="rId5" w:fontKey="{1CAA1936-C83E-4EBF-BD72-0C5E27F4AB3F}"/>
  </w:font>
  <w:font w:name="仿宋">
    <w:panose1 w:val="02010609060101010101"/>
    <w:charset w:val="86"/>
    <w:family w:val="modern"/>
    <w:pitch w:val="default"/>
    <w:sig w:usb0="800002BF" w:usb1="38CF7CFA" w:usb2="00000016" w:usb3="00000000" w:csb0="00040001" w:csb1="00000000"/>
    <w:embedRegular r:id="rId6" w:fontKey="{06130EAA-1A74-4FE1-A821-6EA635F9088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1"/>
    </w:sdtPr>
    <w:sdtEndPr>
      <w:rPr>
        <w:rFonts w:hint="eastAsia" w:ascii="仿宋_GB2312" w:eastAsia="仿宋_GB2312"/>
        <w:sz w:val="24"/>
        <w:szCs w:val="24"/>
      </w:rPr>
    </w:sdtEndPr>
    <w:sdtContent>
      <w:p>
        <w:pPr>
          <w:pStyle w:val="9"/>
          <w:ind w:firstLine="480"/>
          <w:jc w:val="right"/>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21 -</w:t>
        </w:r>
        <w:r>
          <w:rPr>
            <w:rFonts w:hint="eastAsia" w:ascii="仿宋_GB2312" w:eastAsia="仿宋_GB2312"/>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1867404614"/>
    </w:sdtPr>
    <w:sdtEndPr>
      <w:rPr>
        <w:rFonts w:hint="eastAsia" w:ascii="仿宋_GB2312" w:eastAsia="仿宋_GB2312"/>
        <w:sz w:val="24"/>
        <w:szCs w:val="24"/>
      </w:rPr>
    </w:sdtEndPr>
    <w:sdtContent>
      <w:p>
        <w:pPr>
          <w:pStyle w:val="9"/>
          <w:ind w:firstLine="0" w:firstLineChars="0"/>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rPr>
          <w:t>- 20 -</w:t>
        </w:r>
        <w:r>
          <w:rPr>
            <w:rFonts w:hint="eastAsia" w:ascii="仿宋_GB2312" w:eastAsia="仿宋_GB2312"/>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NotDisplayPageBoundaries w:val="1"/>
  <w:embedTrueTypeFonts/>
  <w:saveSubsetFonts/>
  <w:bordersDoNotSurroundHeader w:val="0"/>
  <w:bordersDoNotSurroundFooter w:val="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YmY2ZDE5ZmFhM2IxYmY0YmYwZThlYTk3MzY3NTYifQ=="/>
  </w:docVars>
  <w:rsids>
    <w:rsidRoot w:val="00172A27"/>
    <w:rsid w:val="00000561"/>
    <w:rsid w:val="00001759"/>
    <w:rsid w:val="00001CB8"/>
    <w:rsid w:val="0000499C"/>
    <w:rsid w:val="00006A86"/>
    <w:rsid w:val="00013DF9"/>
    <w:rsid w:val="000148BC"/>
    <w:rsid w:val="00016F50"/>
    <w:rsid w:val="00021397"/>
    <w:rsid w:val="00022CDF"/>
    <w:rsid w:val="00030C77"/>
    <w:rsid w:val="00031CAC"/>
    <w:rsid w:val="00034937"/>
    <w:rsid w:val="00035217"/>
    <w:rsid w:val="00043863"/>
    <w:rsid w:val="00051B45"/>
    <w:rsid w:val="00053858"/>
    <w:rsid w:val="00054031"/>
    <w:rsid w:val="00054551"/>
    <w:rsid w:val="00060DCF"/>
    <w:rsid w:val="0006235F"/>
    <w:rsid w:val="000637AD"/>
    <w:rsid w:val="000736C3"/>
    <w:rsid w:val="00077ACC"/>
    <w:rsid w:val="00077F3F"/>
    <w:rsid w:val="00081F28"/>
    <w:rsid w:val="00084EFE"/>
    <w:rsid w:val="00093E14"/>
    <w:rsid w:val="000958F3"/>
    <w:rsid w:val="00096AB6"/>
    <w:rsid w:val="000A2C3C"/>
    <w:rsid w:val="000A6A30"/>
    <w:rsid w:val="000A7B37"/>
    <w:rsid w:val="000B67CC"/>
    <w:rsid w:val="000B6C0C"/>
    <w:rsid w:val="000C419E"/>
    <w:rsid w:val="000D6942"/>
    <w:rsid w:val="000F1F1C"/>
    <w:rsid w:val="00107479"/>
    <w:rsid w:val="00114183"/>
    <w:rsid w:val="00117F41"/>
    <w:rsid w:val="001310D3"/>
    <w:rsid w:val="00160CA0"/>
    <w:rsid w:val="00160F61"/>
    <w:rsid w:val="0017180D"/>
    <w:rsid w:val="00172A27"/>
    <w:rsid w:val="00174ADE"/>
    <w:rsid w:val="00176E9C"/>
    <w:rsid w:val="00180476"/>
    <w:rsid w:val="00181607"/>
    <w:rsid w:val="001850DB"/>
    <w:rsid w:val="001854C6"/>
    <w:rsid w:val="00192538"/>
    <w:rsid w:val="00196A1C"/>
    <w:rsid w:val="001B2176"/>
    <w:rsid w:val="001B6F5C"/>
    <w:rsid w:val="001B75DD"/>
    <w:rsid w:val="001C04AD"/>
    <w:rsid w:val="001C288B"/>
    <w:rsid w:val="001C3063"/>
    <w:rsid w:val="001C58CC"/>
    <w:rsid w:val="001D0E3C"/>
    <w:rsid w:val="001D6011"/>
    <w:rsid w:val="001D647F"/>
    <w:rsid w:val="001E06BD"/>
    <w:rsid w:val="001F35B0"/>
    <w:rsid w:val="001F4514"/>
    <w:rsid w:val="00201E8C"/>
    <w:rsid w:val="00206570"/>
    <w:rsid w:val="00207C25"/>
    <w:rsid w:val="0022755D"/>
    <w:rsid w:val="00236108"/>
    <w:rsid w:val="002426ED"/>
    <w:rsid w:val="00243A98"/>
    <w:rsid w:val="002531EC"/>
    <w:rsid w:val="00260672"/>
    <w:rsid w:val="00261EB4"/>
    <w:rsid w:val="00262071"/>
    <w:rsid w:val="002644B2"/>
    <w:rsid w:val="00264CEC"/>
    <w:rsid w:val="002729B0"/>
    <w:rsid w:val="00272C46"/>
    <w:rsid w:val="00273E59"/>
    <w:rsid w:val="002755B9"/>
    <w:rsid w:val="00281353"/>
    <w:rsid w:val="002A05D8"/>
    <w:rsid w:val="002A1362"/>
    <w:rsid w:val="002A317B"/>
    <w:rsid w:val="002A766B"/>
    <w:rsid w:val="002B0A2B"/>
    <w:rsid w:val="002B28C5"/>
    <w:rsid w:val="002B6B38"/>
    <w:rsid w:val="002C0BBE"/>
    <w:rsid w:val="002C428D"/>
    <w:rsid w:val="002C64B8"/>
    <w:rsid w:val="002D114E"/>
    <w:rsid w:val="002D2BAF"/>
    <w:rsid w:val="002D46BE"/>
    <w:rsid w:val="002D59DE"/>
    <w:rsid w:val="002D62E7"/>
    <w:rsid w:val="002E12A7"/>
    <w:rsid w:val="002E418D"/>
    <w:rsid w:val="002E662A"/>
    <w:rsid w:val="002F641F"/>
    <w:rsid w:val="00311B7F"/>
    <w:rsid w:val="003132F7"/>
    <w:rsid w:val="00322379"/>
    <w:rsid w:val="00323B88"/>
    <w:rsid w:val="0032691C"/>
    <w:rsid w:val="00326F96"/>
    <w:rsid w:val="00330889"/>
    <w:rsid w:val="00332556"/>
    <w:rsid w:val="00333DFD"/>
    <w:rsid w:val="00342B8D"/>
    <w:rsid w:val="00343AD5"/>
    <w:rsid w:val="003471D9"/>
    <w:rsid w:val="003507B4"/>
    <w:rsid w:val="00361A51"/>
    <w:rsid w:val="00365D50"/>
    <w:rsid w:val="00380338"/>
    <w:rsid w:val="00382ABD"/>
    <w:rsid w:val="00383AAE"/>
    <w:rsid w:val="00386E12"/>
    <w:rsid w:val="00390186"/>
    <w:rsid w:val="0039692B"/>
    <w:rsid w:val="003A07F0"/>
    <w:rsid w:val="003B1474"/>
    <w:rsid w:val="003C0091"/>
    <w:rsid w:val="003D01BF"/>
    <w:rsid w:val="003D16B4"/>
    <w:rsid w:val="003D38A4"/>
    <w:rsid w:val="003D4689"/>
    <w:rsid w:val="003D5855"/>
    <w:rsid w:val="003D731C"/>
    <w:rsid w:val="003F7769"/>
    <w:rsid w:val="003F7A69"/>
    <w:rsid w:val="00402AD6"/>
    <w:rsid w:val="00404E42"/>
    <w:rsid w:val="00417B7F"/>
    <w:rsid w:val="0042544E"/>
    <w:rsid w:val="00430C3F"/>
    <w:rsid w:val="004418C0"/>
    <w:rsid w:val="00441A5D"/>
    <w:rsid w:val="00452EBA"/>
    <w:rsid w:val="00455805"/>
    <w:rsid w:val="00464E21"/>
    <w:rsid w:val="0046684D"/>
    <w:rsid w:val="0048335F"/>
    <w:rsid w:val="0048453C"/>
    <w:rsid w:val="00486266"/>
    <w:rsid w:val="0049502D"/>
    <w:rsid w:val="00496069"/>
    <w:rsid w:val="00496F63"/>
    <w:rsid w:val="004A04BF"/>
    <w:rsid w:val="004A5139"/>
    <w:rsid w:val="004B25B9"/>
    <w:rsid w:val="004B29EB"/>
    <w:rsid w:val="004B5B2D"/>
    <w:rsid w:val="004C372E"/>
    <w:rsid w:val="004C76B8"/>
    <w:rsid w:val="004D7C51"/>
    <w:rsid w:val="004E0A20"/>
    <w:rsid w:val="004F094C"/>
    <w:rsid w:val="00503312"/>
    <w:rsid w:val="0051117C"/>
    <w:rsid w:val="0051595D"/>
    <w:rsid w:val="00524779"/>
    <w:rsid w:val="0053431A"/>
    <w:rsid w:val="00540552"/>
    <w:rsid w:val="00543538"/>
    <w:rsid w:val="00546831"/>
    <w:rsid w:val="00550961"/>
    <w:rsid w:val="00551A57"/>
    <w:rsid w:val="00554483"/>
    <w:rsid w:val="005620E8"/>
    <w:rsid w:val="00566A36"/>
    <w:rsid w:val="00575A40"/>
    <w:rsid w:val="0058155B"/>
    <w:rsid w:val="0058262D"/>
    <w:rsid w:val="00585243"/>
    <w:rsid w:val="00590B10"/>
    <w:rsid w:val="00595817"/>
    <w:rsid w:val="00596EF4"/>
    <w:rsid w:val="005A5434"/>
    <w:rsid w:val="005B2F0F"/>
    <w:rsid w:val="005B433C"/>
    <w:rsid w:val="005C103F"/>
    <w:rsid w:val="005C718E"/>
    <w:rsid w:val="005D4823"/>
    <w:rsid w:val="005E56BD"/>
    <w:rsid w:val="005F0985"/>
    <w:rsid w:val="0061085C"/>
    <w:rsid w:val="006168EC"/>
    <w:rsid w:val="00624508"/>
    <w:rsid w:val="00626005"/>
    <w:rsid w:val="0063101A"/>
    <w:rsid w:val="00631A77"/>
    <w:rsid w:val="0063465E"/>
    <w:rsid w:val="006354C2"/>
    <w:rsid w:val="00635D9D"/>
    <w:rsid w:val="006424D9"/>
    <w:rsid w:val="006549AF"/>
    <w:rsid w:val="0066199A"/>
    <w:rsid w:val="00671187"/>
    <w:rsid w:val="00671FA5"/>
    <w:rsid w:val="00676542"/>
    <w:rsid w:val="00692FF6"/>
    <w:rsid w:val="00694513"/>
    <w:rsid w:val="006A3C5C"/>
    <w:rsid w:val="006B16F8"/>
    <w:rsid w:val="006B3937"/>
    <w:rsid w:val="006C2037"/>
    <w:rsid w:val="006E0677"/>
    <w:rsid w:val="006F0F63"/>
    <w:rsid w:val="00702D6A"/>
    <w:rsid w:val="00706F17"/>
    <w:rsid w:val="00717175"/>
    <w:rsid w:val="00717CE8"/>
    <w:rsid w:val="00734CE2"/>
    <w:rsid w:val="00742967"/>
    <w:rsid w:val="007444BF"/>
    <w:rsid w:val="00750BEA"/>
    <w:rsid w:val="00750EC7"/>
    <w:rsid w:val="00751C75"/>
    <w:rsid w:val="00751D2D"/>
    <w:rsid w:val="0075684F"/>
    <w:rsid w:val="00765352"/>
    <w:rsid w:val="007711CB"/>
    <w:rsid w:val="00772127"/>
    <w:rsid w:val="00772F73"/>
    <w:rsid w:val="00776011"/>
    <w:rsid w:val="00781794"/>
    <w:rsid w:val="007912B6"/>
    <w:rsid w:val="0079563D"/>
    <w:rsid w:val="007A1A41"/>
    <w:rsid w:val="007A3D4E"/>
    <w:rsid w:val="007B2E36"/>
    <w:rsid w:val="007B41B5"/>
    <w:rsid w:val="007B56E0"/>
    <w:rsid w:val="007D0C6D"/>
    <w:rsid w:val="007E11C4"/>
    <w:rsid w:val="007E2514"/>
    <w:rsid w:val="007E418B"/>
    <w:rsid w:val="007E5303"/>
    <w:rsid w:val="00801487"/>
    <w:rsid w:val="00812C5B"/>
    <w:rsid w:val="008150A1"/>
    <w:rsid w:val="00820E4C"/>
    <w:rsid w:val="00821612"/>
    <w:rsid w:val="008241D5"/>
    <w:rsid w:val="00830069"/>
    <w:rsid w:val="00832A0A"/>
    <w:rsid w:val="00832C42"/>
    <w:rsid w:val="008506DE"/>
    <w:rsid w:val="0085569A"/>
    <w:rsid w:val="00863C70"/>
    <w:rsid w:val="00872FD2"/>
    <w:rsid w:val="00876F07"/>
    <w:rsid w:val="00886624"/>
    <w:rsid w:val="00897286"/>
    <w:rsid w:val="008A54E1"/>
    <w:rsid w:val="008C0347"/>
    <w:rsid w:val="008D710C"/>
    <w:rsid w:val="008E0A76"/>
    <w:rsid w:val="008F00F7"/>
    <w:rsid w:val="008F091F"/>
    <w:rsid w:val="00905674"/>
    <w:rsid w:val="00920E81"/>
    <w:rsid w:val="00923953"/>
    <w:rsid w:val="009324B0"/>
    <w:rsid w:val="009415DC"/>
    <w:rsid w:val="0094395B"/>
    <w:rsid w:val="00956056"/>
    <w:rsid w:val="009567D5"/>
    <w:rsid w:val="0096042B"/>
    <w:rsid w:val="009723A8"/>
    <w:rsid w:val="00980848"/>
    <w:rsid w:val="009B2C30"/>
    <w:rsid w:val="009B366F"/>
    <w:rsid w:val="009B3C68"/>
    <w:rsid w:val="009C7234"/>
    <w:rsid w:val="009D7A2D"/>
    <w:rsid w:val="009E0BAB"/>
    <w:rsid w:val="009F1D33"/>
    <w:rsid w:val="00A025A3"/>
    <w:rsid w:val="00A115B7"/>
    <w:rsid w:val="00A13B74"/>
    <w:rsid w:val="00A262F0"/>
    <w:rsid w:val="00A27869"/>
    <w:rsid w:val="00A315BF"/>
    <w:rsid w:val="00A3609D"/>
    <w:rsid w:val="00A37B1C"/>
    <w:rsid w:val="00A4292B"/>
    <w:rsid w:val="00AB126D"/>
    <w:rsid w:val="00AB237D"/>
    <w:rsid w:val="00AB2D66"/>
    <w:rsid w:val="00AB7725"/>
    <w:rsid w:val="00AC106F"/>
    <w:rsid w:val="00AC27C3"/>
    <w:rsid w:val="00AC7C2D"/>
    <w:rsid w:val="00AC7EE8"/>
    <w:rsid w:val="00AD1E54"/>
    <w:rsid w:val="00AE3595"/>
    <w:rsid w:val="00AF1A2F"/>
    <w:rsid w:val="00AF7A46"/>
    <w:rsid w:val="00B00338"/>
    <w:rsid w:val="00B0351E"/>
    <w:rsid w:val="00B04A4D"/>
    <w:rsid w:val="00B052F0"/>
    <w:rsid w:val="00B05850"/>
    <w:rsid w:val="00B07CAE"/>
    <w:rsid w:val="00B1314C"/>
    <w:rsid w:val="00B140E6"/>
    <w:rsid w:val="00B1469E"/>
    <w:rsid w:val="00B2188A"/>
    <w:rsid w:val="00B21C52"/>
    <w:rsid w:val="00B25DC3"/>
    <w:rsid w:val="00B25FB2"/>
    <w:rsid w:val="00B5421C"/>
    <w:rsid w:val="00B6246A"/>
    <w:rsid w:val="00B62909"/>
    <w:rsid w:val="00B65744"/>
    <w:rsid w:val="00B674B1"/>
    <w:rsid w:val="00B909F8"/>
    <w:rsid w:val="00B93411"/>
    <w:rsid w:val="00BA57C4"/>
    <w:rsid w:val="00BB3E84"/>
    <w:rsid w:val="00BC0912"/>
    <w:rsid w:val="00BD361D"/>
    <w:rsid w:val="00BD53C7"/>
    <w:rsid w:val="00BD64D2"/>
    <w:rsid w:val="00BD704E"/>
    <w:rsid w:val="00BE11CC"/>
    <w:rsid w:val="00BE1D59"/>
    <w:rsid w:val="00BE5B78"/>
    <w:rsid w:val="00C071E5"/>
    <w:rsid w:val="00C07605"/>
    <w:rsid w:val="00C170C6"/>
    <w:rsid w:val="00C32308"/>
    <w:rsid w:val="00C33C58"/>
    <w:rsid w:val="00C33D94"/>
    <w:rsid w:val="00C34FF3"/>
    <w:rsid w:val="00C4549B"/>
    <w:rsid w:val="00C4651B"/>
    <w:rsid w:val="00C531B8"/>
    <w:rsid w:val="00C57E8E"/>
    <w:rsid w:val="00C664F9"/>
    <w:rsid w:val="00C73707"/>
    <w:rsid w:val="00C83F3A"/>
    <w:rsid w:val="00CB3332"/>
    <w:rsid w:val="00CC53E2"/>
    <w:rsid w:val="00CC630B"/>
    <w:rsid w:val="00CC7EB1"/>
    <w:rsid w:val="00CD368B"/>
    <w:rsid w:val="00CD711D"/>
    <w:rsid w:val="00CE1D31"/>
    <w:rsid w:val="00CE3559"/>
    <w:rsid w:val="00CE7E14"/>
    <w:rsid w:val="00CF2270"/>
    <w:rsid w:val="00CF2D68"/>
    <w:rsid w:val="00CF7F31"/>
    <w:rsid w:val="00D052F6"/>
    <w:rsid w:val="00D12967"/>
    <w:rsid w:val="00D307B6"/>
    <w:rsid w:val="00D47B23"/>
    <w:rsid w:val="00D61188"/>
    <w:rsid w:val="00D6435F"/>
    <w:rsid w:val="00D71C05"/>
    <w:rsid w:val="00D7237C"/>
    <w:rsid w:val="00D76323"/>
    <w:rsid w:val="00D82BA1"/>
    <w:rsid w:val="00D8478F"/>
    <w:rsid w:val="00D85640"/>
    <w:rsid w:val="00DA162F"/>
    <w:rsid w:val="00DA5638"/>
    <w:rsid w:val="00DB1B78"/>
    <w:rsid w:val="00DB4854"/>
    <w:rsid w:val="00DB4D3A"/>
    <w:rsid w:val="00DC0283"/>
    <w:rsid w:val="00DC37C3"/>
    <w:rsid w:val="00DE4D95"/>
    <w:rsid w:val="00DF3BB2"/>
    <w:rsid w:val="00DF5544"/>
    <w:rsid w:val="00E007DE"/>
    <w:rsid w:val="00E00A07"/>
    <w:rsid w:val="00E0251F"/>
    <w:rsid w:val="00E062CC"/>
    <w:rsid w:val="00E108EA"/>
    <w:rsid w:val="00E2128B"/>
    <w:rsid w:val="00E219C6"/>
    <w:rsid w:val="00E272E4"/>
    <w:rsid w:val="00E3689F"/>
    <w:rsid w:val="00E429F1"/>
    <w:rsid w:val="00E4341E"/>
    <w:rsid w:val="00E46119"/>
    <w:rsid w:val="00E50584"/>
    <w:rsid w:val="00E61C38"/>
    <w:rsid w:val="00E735DB"/>
    <w:rsid w:val="00E81261"/>
    <w:rsid w:val="00E8251B"/>
    <w:rsid w:val="00E856B8"/>
    <w:rsid w:val="00E9194F"/>
    <w:rsid w:val="00E93080"/>
    <w:rsid w:val="00E948B8"/>
    <w:rsid w:val="00EA2987"/>
    <w:rsid w:val="00EA7359"/>
    <w:rsid w:val="00EB7268"/>
    <w:rsid w:val="00EC150D"/>
    <w:rsid w:val="00EC393A"/>
    <w:rsid w:val="00EC78FC"/>
    <w:rsid w:val="00ED1706"/>
    <w:rsid w:val="00ED6D70"/>
    <w:rsid w:val="00ED703B"/>
    <w:rsid w:val="00ED71CF"/>
    <w:rsid w:val="00EE26D5"/>
    <w:rsid w:val="00EE6B3A"/>
    <w:rsid w:val="00EE7980"/>
    <w:rsid w:val="00EE7AA2"/>
    <w:rsid w:val="00EF0FE1"/>
    <w:rsid w:val="00EF1D4C"/>
    <w:rsid w:val="00EF373F"/>
    <w:rsid w:val="00EF6BA4"/>
    <w:rsid w:val="00EF7036"/>
    <w:rsid w:val="00EF776B"/>
    <w:rsid w:val="00F140AB"/>
    <w:rsid w:val="00F1777F"/>
    <w:rsid w:val="00F2115B"/>
    <w:rsid w:val="00F21E0C"/>
    <w:rsid w:val="00F22BA6"/>
    <w:rsid w:val="00F24DAA"/>
    <w:rsid w:val="00F25AB6"/>
    <w:rsid w:val="00F309B1"/>
    <w:rsid w:val="00F41EFB"/>
    <w:rsid w:val="00F435A7"/>
    <w:rsid w:val="00F5472D"/>
    <w:rsid w:val="00F557EB"/>
    <w:rsid w:val="00F77832"/>
    <w:rsid w:val="00F809D0"/>
    <w:rsid w:val="00F81F7B"/>
    <w:rsid w:val="00F9037F"/>
    <w:rsid w:val="00F92272"/>
    <w:rsid w:val="00F93467"/>
    <w:rsid w:val="00F96EE5"/>
    <w:rsid w:val="00FA1BC7"/>
    <w:rsid w:val="00FA5E6F"/>
    <w:rsid w:val="00FB01EE"/>
    <w:rsid w:val="00FC05EB"/>
    <w:rsid w:val="00FC1486"/>
    <w:rsid w:val="00FE0BD9"/>
    <w:rsid w:val="00FE1364"/>
    <w:rsid w:val="00FE5DD9"/>
    <w:rsid w:val="00FF175B"/>
    <w:rsid w:val="00FF2E90"/>
    <w:rsid w:val="01110250"/>
    <w:rsid w:val="011F1AD4"/>
    <w:rsid w:val="01B74261"/>
    <w:rsid w:val="0200692E"/>
    <w:rsid w:val="020F748C"/>
    <w:rsid w:val="02AB5AF9"/>
    <w:rsid w:val="02CE17E8"/>
    <w:rsid w:val="02F43F77"/>
    <w:rsid w:val="032121AE"/>
    <w:rsid w:val="039C57C0"/>
    <w:rsid w:val="03BE3331"/>
    <w:rsid w:val="03D4251F"/>
    <w:rsid w:val="03DE36BA"/>
    <w:rsid w:val="03E334BE"/>
    <w:rsid w:val="04882551"/>
    <w:rsid w:val="04905229"/>
    <w:rsid w:val="04A709B2"/>
    <w:rsid w:val="04B670A5"/>
    <w:rsid w:val="04D72BD5"/>
    <w:rsid w:val="05145E61"/>
    <w:rsid w:val="053A335B"/>
    <w:rsid w:val="05402104"/>
    <w:rsid w:val="062400AE"/>
    <w:rsid w:val="0653707C"/>
    <w:rsid w:val="066D4682"/>
    <w:rsid w:val="06BB4D49"/>
    <w:rsid w:val="06BC6527"/>
    <w:rsid w:val="07034671"/>
    <w:rsid w:val="07165A49"/>
    <w:rsid w:val="07574788"/>
    <w:rsid w:val="07DE62F4"/>
    <w:rsid w:val="08345247"/>
    <w:rsid w:val="08714021"/>
    <w:rsid w:val="087227CD"/>
    <w:rsid w:val="08A94C7F"/>
    <w:rsid w:val="08AC6127"/>
    <w:rsid w:val="08BD181B"/>
    <w:rsid w:val="08D145D9"/>
    <w:rsid w:val="0908255E"/>
    <w:rsid w:val="091F4B4B"/>
    <w:rsid w:val="09706A8B"/>
    <w:rsid w:val="09720AFF"/>
    <w:rsid w:val="097E7AC3"/>
    <w:rsid w:val="09907263"/>
    <w:rsid w:val="09AF7484"/>
    <w:rsid w:val="0A133D15"/>
    <w:rsid w:val="0A2166A1"/>
    <w:rsid w:val="0A316B49"/>
    <w:rsid w:val="0A33204C"/>
    <w:rsid w:val="0A82617F"/>
    <w:rsid w:val="0A94336A"/>
    <w:rsid w:val="0A9439D7"/>
    <w:rsid w:val="0A9B46A5"/>
    <w:rsid w:val="0AE14692"/>
    <w:rsid w:val="0BA457DB"/>
    <w:rsid w:val="0BDE0CED"/>
    <w:rsid w:val="0BE55CF7"/>
    <w:rsid w:val="0C7E418F"/>
    <w:rsid w:val="0C93724D"/>
    <w:rsid w:val="0C9501B6"/>
    <w:rsid w:val="0D1A400D"/>
    <w:rsid w:val="0D953218"/>
    <w:rsid w:val="0DB6039A"/>
    <w:rsid w:val="0DD7267F"/>
    <w:rsid w:val="0DD75937"/>
    <w:rsid w:val="0DF21DCE"/>
    <w:rsid w:val="0E0E21C7"/>
    <w:rsid w:val="0E326D66"/>
    <w:rsid w:val="0E9038E2"/>
    <w:rsid w:val="0EDF3360"/>
    <w:rsid w:val="0F056591"/>
    <w:rsid w:val="0F095A37"/>
    <w:rsid w:val="0F0E6A19"/>
    <w:rsid w:val="0F2C0E62"/>
    <w:rsid w:val="0F3876C0"/>
    <w:rsid w:val="101F3C57"/>
    <w:rsid w:val="103869BA"/>
    <w:rsid w:val="10837FA1"/>
    <w:rsid w:val="10DD34F9"/>
    <w:rsid w:val="11125EBA"/>
    <w:rsid w:val="115C3D5C"/>
    <w:rsid w:val="11791515"/>
    <w:rsid w:val="11D54C2E"/>
    <w:rsid w:val="12361F92"/>
    <w:rsid w:val="123C2076"/>
    <w:rsid w:val="1273087D"/>
    <w:rsid w:val="12E77F91"/>
    <w:rsid w:val="135A1F83"/>
    <w:rsid w:val="138E61A0"/>
    <w:rsid w:val="14164D9C"/>
    <w:rsid w:val="14187F50"/>
    <w:rsid w:val="14A32AD4"/>
    <w:rsid w:val="14A3673B"/>
    <w:rsid w:val="14F15C58"/>
    <w:rsid w:val="155C679B"/>
    <w:rsid w:val="15BB48DF"/>
    <w:rsid w:val="15CC6A4F"/>
    <w:rsid w:val="15E2762C"/>
    <w:rsid w:val="15F076A6"/>
    <w:rsid w:val="16945039"/>
    <w:rsid w:val="16B017A8"/>
    <w:rsid w:val="16E34778"/>
    <w:rsid w:val="16F05D79"/>
    <w:rsid w:val="16F74821"/>
    <w:rsid w:val="16F91A40"/>
    <w:rsid w:val="172D7472"/>
    <w:rsid w:val="1796247C"/>
    <w:rsid w:val="17F2365A"/>
    <w:rsid w:val="186C4D4D"/>
    <w:rsid w:val="187D60FF"/>
    <w:rsid w:val="18AC332F"/>
    <w:rsid w:val="18AD3F21"/>
    <w:rsid w:val="18F71FD6"/>
    <w:rsid w:val="196717B9"/>
    <w:rsid w:val="196E79A3"/>
    <w:rsid w:val="1A0D716D"/>
    <w:rsid w:val="1A213749"/>
    <w:rsid w:val="1A8A6CAB"/>
    <w:rsid w:val="1A9A08B1"/>
    <w:rsid w:val="1B9F015F"/>
    <w:rsid w:val="1BBD1719"/>
    <w:rsid w:val="1C982365"/>
    <w:rsid w:val="1CE06351"/>
    <w:rsid w:val="1CE23943"/>
    <w:rsid w:val="1CF14289"/>
    <w:rsid w:val="1D0F29C1"/>
    <w:rsid w:val="1E1F6FD4"/>
    <w:rsid w:val="1E6F5EB1"/>
    <w:rsid w:val="1E894AE9"/>
    <w:rsid w:val="1E990AA4"/>
    <w:rsid w:val="1EAC07D7"/>
    <w:rsid w:val="1EDA671B"/>
    <w:rsid w:val="1EE45D3E"/>
    <w:rsid w:val="1F0E0FAD"/>
    <w:rsid w:val="1F543A73"/>
    <w:rsid w:val="1FA24E77"/>
    <w:rsid w:val="1FF26596"/>
    <w:rsid w:val="2002516C"/>
    <w:rsid w:val="20117596"/>
    <w:rsid w:val="202B0586"/>
    <w:rsid w:val="20546E99"/>
    <w:rsid w:val="206F41B2"/>
    <w:rsid w:val="208319DB"/>
    <w:rsid w:val="20B2255E"/>
    <w:rsid w:val="21286D06"/>
    <w:rsid w:val="217A2579"/>
    <w:rsid w:val="21E75FAA"/>
    <w:rsid w:val="2203671C"/>
    <w:rsid w:val="22046BDF"/>
    <w:rsid w:val="22177DFE"/>
    <w:rsid w:val="22297F4F"/>
    <w:rsid w:val="22690B02"/>
    <w:rsid w:val="229A4B54"/>
    <w:rsid w:val="22DB33C0"/>
    <w:rsid w:val="22DE0319"/>
    <w:rsid w:val="22DE4344"/>
    <w:rsid w:val="23333DD5"/>
    <w:rsid w:val="2333412C"/>
    <w:rsid w:val="23DB7683"/>
    <w:rsid w:val="23F80BAD"/>
    <w:rsid w:val="241E4CD1"/>
    <w:rsid w:val="247B302E"/>
    <w:rsid w:val="24EA55A3"/>
    <w:rsid w:val="25052E0F"/>
    <w:rsid w:val="251B5458"/>
    <w:rsid w:val="253C76A7"/>
    <w:rsid w:val="25506347"/>
    <w:rsid w:val="25641E0C"/>
    <w:rsid w:val="25C17315"/>
    <w:rsid w:val="25FF38E2"/>
    <w:rsid w:val="262B7192"/>
    <w:rsid w:val="26633DFD"/>
    <w:rsid w:val="271933B4"/>
    <w:rsid w:val="27EA020A"/>
    <w:rsid w:val="27F15616"/>
    <w:rsid w:val="27FFCB29"/>
    <w:rsid w:val="28372507"/>
    <w:rsid w:val="28934226"/>
    <w:rsid w:val="28AD37B2"/>
    <w:rsid w:val="29372D3A"/>
    <w:rsid w:val="29A77C62"/>
    <w:rsid w:val="29B33D6A"/>
    <w:rsid w:val="29B56FBB"/>
    <w:rsid w:val="29C01F1B"/>
    <w:rsid w:val="29F3375E"/>
    <w:rsid w:val="2A174F9B"/>
    <w:rsid w:val="2A4E1F42"/>
    <w:rsid w:val="2A6252B1"/>
    <w:rsid w:val="2B406EDA"/>
    <w:rsid w:val="2B4D2E1A"/>
    <w:rsid w:val="2B525DEB"/>
    <w:rsid w:val="2BEE67DE"/>
    <w:rsid w:val="2C6425E2"/>
    <w:rsid w:val="2CB13D8C"/>
    <w:rsid w:val="2CD201F5"/>
    <w:rsid w:val="2D3C773F"/>
    <w:rsid w:val="2D522368"/>
    <w:rsid w:val="2DEA32EF"/>
    <w:rsid w:val="2EAA249B"/>
    <w:rsid w:val="2EF266DA"/>
    <w:rsid w:val="2F1F3F05"/>
    <w:rsid w:val="2F39208D"/>
    <w:rsid w:val="2F3A5849"/>
    <w:rsid w:val="2F4D3910"/>
    <w:rsid w:val="2F6D7FDB"/>
    <w:rsid w:val="2FA53B19"/>
    <w:rsid w:val="2FEB0642"/>
    <w:rsid w:val="2FEF575E"/>
    <w:rsid w:val="302A2DF6"/>
    <w:rsid w:val="30446AC1"/>
    <w:rsid w:val="30800413"/>
    <w:rsid w:val="31172428"/>
    <w:rsid w:val="31D71B69"/>
    <w:rsid w:val="328A6F6F"/>
    <w:rsid w:val="32FA3DAF"/>
    <w:rsid w:val="33007ACF"/>
    <w:rsid w:val="33246EBE"/>
    <w:rsid w:val="33265B78"/>
    <w:rsid w:val="333A23FE"/>
    <w:rsid w:val="33A07A40"/>
    <w:rsid w:val="33F474CA"/>
    <w:rsid w:val="341C32E7"/>
    <w:rsid w:val="34270BD4"/>
    <w:rsid w:val="342B1BA3"/>
    <w:rsid w:val="34344C3D"/>
    <w:rsid w:val="34881F3C"/>
    <w:rsid w:val="34A459C0"/>
    <w:rsid w:val="34C865A9"/>
    <w:rsid w:val="34DE074D"/>
    <w:rsid w:val="35324954"/>
    <w:rsid w:val="353B77E2"/>
    <w:rsid w:val="35424078"/>
    <w:rsid w:val="35D905E4"/>
    <w:rsid w:val="35E34020"/>
    <w:rsid w:val="364C2EA8"/>
    <w:rsid w:val="36A44A3C"/>
    <w:rsid w:val="373F033B"/>
    <w:rsid w:val="37460BE1"/>
    <w:rsid w:val="37734130"/>
    <w:rsid w:val="37A13EFE"/>
    <w:rsid w:val="384B09B3"/>
    <w:rsid w:val="38797524"/>
    <w:rsid w:val="389E09C9"/>
    <w:rsid w:val="38B67964"/>
    <w:rsid w:val="38C500B3"/>
    <w:rsid w:val="38DC1ED6"/>
    <w:rsid w:val="38F51707"/>
    <w:rsid w:val="38FB291B"/>
    <w:rsid w:val="392C60B2"/>
    <w:rsid w:val="394704B1"/>
    <w:rsid w:val="394D6D12"/>
    <w:rsid w:val="395A1104"/>
    <w:rsid w:val="396C33B0"/>
    <w:rsid w:val="397865C9"/>
    <w:rsid w:val="397F21E7"/>
    <w:rsid w:val="39EC667A"/>
    <w:rsid w:val="3A410D70"/>
    <w:rsid w:val="3A5B1889"/>
    <w:rsid w:val="3A854A54"/>
    <w:rsid w:val="3AAD7959"/>
    <w:rsid w:val="3AF92B9E"/>
    <w:rsid w:val="3B1F0857"/>
    <w:rsid w:val="3B244A8B"/>
    <w:rsid w:val="3B8A4E63"/>
    <w:rsid w:val="3B93164F"/>
    <w:rsid w:val="3BDE0CCA"/>
    <w:rsid w:val="3C2E3547"/>
    <w:rsid w:val="3C306A4A"/>
    <w:rsid w:val="3C602E9E"/>
    <w:rsid w:val="3CA90048"/>
    <w:rsid w:val="3CF4588F"/>
    <w:rsid w:val="3D38027F"/>
    <w:rsid w:val="3D4F6EA2"/>
    <w:rsid w:val="3D576505"/>
    <w:rsid w:val="3D70644C"/>
    <w:rsid w:val="3DFB283E"/>
    <w:rsid w:val="3E860224"/>
    <w:rsid w:val="3E9E70D9"/>
    <w:rsid w:val="3EE123AF"/>
    <w:rsid w:val="3EE71252"/>
    <w:rsid w:val="3F44410F"/>
    <w:rsid w:val="3F8C5D8F"/>
    <w:rsid w:val="3FB928FC"/>
    <w:rsid w:val="3FFD1A2F"/>
    <w:rsid w:val="40BC7CC5"/>
    <w:rsid w:val="40FB17C7"/>
    <w:rsid w:val="4107668D"/>
    <w:rsid w:val="414B09AC"/>
    <w:rsid w:val="41810242"/>
    <w:rsid w:val="41BF069E"/>
    <w:rsid w:val="422512FB"/>
    <w:rsid w:val="42347419"/>
    <w:rsid w:val="42411939"/>
    <w:rsid w:val="42603862"/>
    <w:rsid w:val="429D6505"/>
    <w:rsid w:val="42E27F91"/>
    <w:rsid w:val="42E5654F"/>
    <w:rsid w:val="42F75C15"/>
    <w:rsid w:val="431A5724"/>
    <w:rsid w:val="432A31E5"/>
    <w:rsid w:val="43C80D40"/>
    <w:rsid w:val="43CE64CC"/>
    <w:rsid w:val="44D465B2"/>
    <w:rsid w:val="45806396"/>
    <w:rsid w:val="458F17FE"/>
    <w:rsid w:val="45904815"/>
    <w:rsid w:val="45AD5CC5"/>
    <w:rsid w:val="45CA7AAB"/>
    <w:rsid w:val="45E464FC"/>
    <w:rsid w:val="45E74363"/>
    <w:rsid w:val="45FB77CB"/>
    <w:rsid w:val="46282E28"/>
    <w:rsid w:val="46CB6F73"/>
    <w:rsid w:val="46EA70BF"/>
    <w:rsid w:val="473110DC"/>
    <w:rsid w:val="47601FC8"/>
    <w:rsid w:val="47843923"/>
    <w:rsid w:val="47D06990"/>
    <w:rsid w:val="47E52670"/>
    <w:rsid w:val="47F15329"/>
    <w:rsid w:val="48291F5E"/>
    <w:rsid w:val="48911F9D"/>
    <w:rsid w:val="48C0676A"/>
    <w:rsid w:val="49BD33FE"/>
    <w:rsid w:val="49FD2C1B"/>
    <w:rsid w:val="4A23362D"/>
    <w:rsid w:val="4A547680"/>
    <w:rsid w:val="4A7837E5"/>
    <w:rsid w:val="4ACA027E"/>
    <w:rsid w:val="4AF23F74"/>
    <w:rsid w:val="4AF367F5"/>
    <w:rsid w:val="4B321807"/>
    <w:rsid w:val="4BA03ED4"/>
    <w:rsid w:val="4C122C59"/>
    <w:rsid w:val="4C781D11"/>
    <w:rsid w:val="4D614548"/>
    <w:rsid w:val="4DB250D0"/>
    <w:rsid w:val="4DBA61E0"/>
    <w:rsid w:val="4DF94E7B"/>
    <w:rsid w:val="4EAC33E0"/>
    <w:rsid w:val="4F416640"/>
    <w:rsid w:val="4F472928"/>
    <w:rsid w:val="4FD519E7"/>
    <w:rsid w:val="4FD778C2"/>
    <w:rsid w:val="500B71A4"/>
    <w:rsid w:val="502E6463"/>
    <w:rsid w:val="50317489"/>
    <w:rsid w:val="503E2F33"/>
    <w:rsid w:val="506E65AF"/>
    <w:rsid w:val="50917AC3"/>
    <w:rsid w:val="50B53E76"/>
    <w:rsid w:val="50D93B1C"/>
    <w:rsid w:val="516D2BC8"/>
    <w:rsid w:val="516F0950"/>
    <w:rsid w:val="516F4BE7"/>
    <w:rsid w:val="51797438"/>
    <w:rsid w:val="51A27A5C"/>
    <w:rsid w:val="51C4585C"/>
    <w:rsid w:val="520C4646"/>
    <w:rsid w:val="52AD4542"/>
    <w:rsid w:val="52BE482B"/>
    <w:rsid w:val="52D946DE"/>
    <w:rsid w:val="54F4122A"/>
    <w:rsid w:val="55193202"/>
    <w:rsid w:val="551F5FB4"/>
    <w:rsid w:val="5536079B"/>
    <w:rsid w:val="55437380"/>
    <w:rsid w:val="557E2768"/>
    <w:rsid w:val="55810454"/>
    <w:rsid w:val="55D32512"/>
    <w:rsid w:val="55EB4403"/>
    <w:rsid w:val="56165758"/>
    <w:rsid w:val="570D7111"/>
    <w:rsid w:val="57594102"/>
    <w:rsid w:val="57655531"/>
    <w:rsid w:val="57A5342C"/>
    <w:rsid w:val="57EF3B87"/>
    <w:rsid w:val="585B2F03"/>
    <w:rsid w:val="58F529AD"/>
    <w:rsid w:val="590D4027"/>
    <w:rsid w:val="593A758F"/>
    <w:rsid w:val="59A34690"/>
    <w:rsid w:val="5A0A209D"/>
    <w:rsid w:val="5A307F33"/>
    <w:rsid w:val="5A620808"/>
    <w:rsid w:val="5AA81D80"/>
    <w:rsid w:val="5AD2138E"/>
    <w:rsid w:val="5AE51198"/>
    <w:rsid w:val="5B044F1C"/>
    <w:rsid w:val="5B676976"/>
    <w:rsid w:val="5B74EA18"/>
    <w:rsid w:val="5BE80399"/>
    <w:rsid w:val="5C5A3DF2"/>
    <w:rsid w:val="5C713B9F"/>
    <w:rsid w:val="5CE1466C"/>
    <w:rsid w:val="5CE24971"/>
    <w:rsid w:val="5D1A55E6"/>
    <w:rsid w:val="5D2E11ED"/>
    <w:rsid w:val="5D330B2B"/>
    <w:rsid w:val="5D4F60A9"/>
    <w:rsid w:val="5D6A43FC"/>
    <w:rsid w:val="5D967AF6"/>
    <w:rsid w:val="5DA35823"/>
    <w:rsid w:val="5DB5274B"/>
    <w:rsid w:val="5DD67B0B"/>
    <w:rsid w:val="5E3D49CC"/>
    <w:rsid w:val="5E417DB0"/>
    <w:rsid w:val="5E702CD8"/>
    <w:rsid w:val="5E775D89"/>
    <w:rsid w:val="5EB32EE1"/>
    <w:rsid w:val="5ECB647C"/>
    <w:rsid w:val="5ED879CC"/>
    <w:rsid w:val="5EE04437"/>
    <w:rsid w:val="5F066A42"/>
    <w:rsid w:val="5F8D3732"/>
    <w:rsid w:val="5FF33945"/>
    <w:rsid w:val="602F2864"/>
    <w:rsid w:val="60986C4E"/>
    <w:rsid w:val="609966C7"/>
    <w:rsid w:val="60A66375"/>
    <w:rsid w:val="60DD2497"/>
    <w:rsid w:val="60F76C7A"/>
    <w:rsid w:val="6110461A"/>
    <w:rsid w:val="614371A1"/>
    <w:rsid w:val="6164269C"/>
    <w:rsid w:val="6183303E"/>
    <w:rsid w:val="6198353E"/>
    <w:rsid w:val="61DB667B"/>
    <w:rsid w:val="61DC639E"/>
    <w:rsid w:val="622A6EAD"/>
    <w:rsid w:val="624F19AB"/>
    <w:rsid w:val="6283405F"/>
    <w:rsid w:val="629E3965"/>
    <w:rsid w:val="62D078A0"/>
    <w:rsid w:val="634A4773"/>
    <w:rsid w:val="63545442"/>
    <w:rsid w:val="63721F27"/>
    <w:rsid w:val="63AF0C1D"/>
    <w:rsid w:val="63B773AF"/>
    <w:rsid w:val="63CE02D5"/>
    <w:rsid w:val="63F21DB5"/>
    <w:rsid w:val="64225A30"/>
    <w:rsid w:val="647D08B3"/>
    <w:rsid w:val="64811F7B"/>
    <w:rsid w:val="64D5070E"/>
    <w:rsid w:val="65052D2D"/>
    <w:rsid w:val="65A417D5"/>
    <w:rsid w:val="65AC4A59"/>
    <w:rsid w:val="65D106AB"/>
    <w:rsid w:val="66176150"/>
    <w:rsid w:val="66262316"/>
    <w:rsid w:val="66F06E1F"/>
    <w:rsid w:val="672F1572"/>
    <w:rsid w:val="67492F39"/>
    <w:rsid w:val="67A00F25"/>
    <w:rsid w:val="67B657F0"/>
    <w:rsid w:val="67F87EA2"/>
    <w:rsid w:val="683B393F"/>
    <w:rsid w:val="6844104D"/>
    <w:rsid w:val="68753813"/>
    <w:rsid w:val="688074EE"/>
    <w:rsid w:val="689D062F"/>
    <w:rsid w:val="68A52C1A"/>
    <w:rsid w:val="68B8460B"/>
    <w:rsid w:val="6948011C"/>
    <w:rsid w:val="699E14D7"/>
    <w:rsid w:val="6A21622D"/>
    <w:rsid w:val="6B1522B1"/>
    <w:rsid w:val="6B3F3B48"/>
    <w:rsid w:val="6B5C2732"/>
    <w:rsid w:val="6BC930E6"/>
    <w:rsid w:val="6C3B7BA1"/>
    <w:rsid w:val="6C585E4D"/>
    <w:rsid w:val="6D2C6D8E"/>
    <w:rsid w:val="6D2E2E9A"/>
    <w:rsid w:val="6D393A2F"/>
    <w:rsid w:val="6D4C5FBB"/>
    <w:rsid w:val="6DB736D9"/>
    <w:rsid w:val="6DE63302"/>
    <w:rsid w:val="6DF95FF8"/>
    <w:rsid w:val="6E087D91"/>
    <w:rsid w:val="6E2C20FC"/>
    <w:rsid w:val="6E4E2A84"/>
    <w:rsid w:val="6EB843C8"/>
    <w:rsid w:val="6ECD4657"/>
    <w:rsid w:val="6ECFA69C"/>
    <w:rsid w:val="6F63625D"/>
    <w:rsid w:val="6F8A1A3C"/>
    <w:rsid w:val="6FF82AC0"/>
    <w:rsid w:val="70411408"/>
    <w:rsid w:val="705067E1"/>
    <w:rsid w:val="717414E2"/>
    <w:rsid w:val="71950A73"/>
    <w:rsid w:val="71AB378B"/>
    <w:rsid w:val="71CF7BDA"/>
    <w:rsid w:val="721B5D66"/>
    <w:rsid w:val="72397C4D"/>
    <w:rsid w:val="726A4AC3"/>
    <w:rsid w:val="726D3849"/>
    <w:rsid w:val="728A09C1"/>
    <w:rsid w:val="72961497"/>
    <w:rsid w:val="72B47470"/>
    <w:rsid w:val="72B92643"/>
    <w:rsid w:val="7377790C"/>
    <w:rsid w:val="73D239B1"/>
    <w:rsid w:val="74015E5E"/>
    <w:rsid w:val="740D52AC"/>
    <w:rsid w:val="740E02D5"/>
    <w:rsid w:val="741DE069"/>
    <w:rsid w:val="74381E70"/>
    <w:rsid w:val="745F1C88"/>
    <w:rsid w:val="74C54439"/>
    <w:rsid w:val="751368C8"/>
    <w:rsid w:val="75430FB2"/>
    <w:rsid w:val="75597595"/>
    <w:rsid w:val="755D37B2"/>
    <w:rsid w:val="75846693"/>
    <w:rsid w:val="75E74C1F"/>
    <w:rsid w:val="75ED3DAB"/>
    <w:rsid w:val="76D2421C"/>
    <w:rsid w:val="76FF6A91"/>
    <w:rsid w:val="770D005F"/>
    <w:rsid w:val="77765F4F"/>
    <w:rsid w:val="77B504B0"/>
    <w:rsid w:val="77D54636"/>
    <w:rsid w:val="789005A3"/>
    <w:rsid w:val="789336DE"/>
    <w:rsid w:val="79322EE8"/>
    <w:rsid w:val="795D2751"/>
    <w:rsid w:val="7968023E"/>
    <w:rsid w:val="79892D64"/>
    <w:rsid w:val="79960F3C"/>
    <w:rsid w:val="79A2114A"/>
    <w:rsid w:val="7A0D0673"/>
    <w:rsid w:val="7A127DEE"/>
    <w:rsid w:val="7A1F1C38"/>
    <w:rsid w:val="7A1F7351"/>
    <w:rsid w:val="7A5F078B"/>
    <w:rsid w:val="7A6A7A61"/>
    <w:rsid w:val="7A8623A2"/>
    <w:rsid w:val="7A9377DF"/>
    <w:rsid w:val="7AC75644"/>
    <w:rsid w:val="7AF93CBA"/>
    <w:rsid w:val="7BA613DD"/>
    <w:rsid w:val="7BB10350"/>
    <w:rsid w:val="7BE57D5A"/>
    <w:rsid w:val="7BED8D98"/>
    <w:rsid w:val="7C2C4136"/>
    <w:rsid w:val="7C3E06C1"/>
    <w:rsid w:val="7C75137E"/>
    <w:rsid w:val="7C776AEA"/>
    <w:rsid w:val="7C7E409C"/>
    <w:rsid w:val="7C7F12D0"/>
    <w:rsid w:val="7CFB7823"/>
    <w:rsid w:val="7D120610"/>
    <w:rsid w:val="7D2B0096"/>
    <w:rsid w:val="7D7F60F4"/>
    <w:rsid w:val="7DE07113"/>
    <w:rsid w:val="7DE9002A"/>
    <w:rsid w:val="7E0427CB"/>
    <w:rsid w:val="7E603096"/>
    <w:rsid w:val="7E617BFB"/>
    <w:rsid w:val="7E695E97"/>
    <w:rsid w:val="7EBB12EF"/>
    <w:rsid w:val="7F1A2C3E"/>
    <w:rsid w:val="7F3818C3"/>
    <w:rsid w:val="7F3F0F27"/>
    <w:rsid w:val="7F4F235A"/>
    <w:rsid w:val="7FBF49DE"/>
    <w:rsid w:val="7FCD1ACB"/>
    <w:rsid w:val="9EFA8208"/>
    <w:rsid w:val="9FF7E108"/>
    <w:rsid w:val="BD26C5D1"/>
    <w:rsid w:val="BDEA004B"/>
    <w:rsid w:val="BF5FB3EE"/>
    <w:rsid w:val="C79D7D30"/>
    <w:rsid w:val="CFEEB422"/>
    <w:rsid w:val="D4F7070D"/>
    <w:rsid w:val="DFF67393"/>
    <w:rsid w:val="FFBF6ECA"/>
    <w:rsid w:val="FFD76C5F"/>
    <w:rsid w:val="FFF74F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eastAsia="仿宋_GB2312 字体" w:asciiTheme="minorHAnsi" w:hAnsiTheme="minorHAnsi" w:cstheme="minorBidi"/>
      <w:kern w:val="2"/>
      <w:sz w:val="32"/>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link w:val="2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styleId="6">
    <w:name w:val="toc 4"/>
    <w:basedOn w:val="1"/>
    <w:next w:val="1"/>
    <w:qFormat/>
    <w:uiPriority w:val="0"/>
    <w:pPr>
      <w:wordWrap w:val="0"/>
      <w:ind w:left="850"/>
    </w:pPr>
    <w:rPr>
      <w:rFonts w:ascii="Calibri" w:hAnsi="Calibri" w:cs="黑体"/>
      <w:szCs w:val="22"/>
    </w:rPr>
  </w:style>
  <w:style w:type="paragraph" w:styleId="7">
    <w:name w:val="annotation text"/>
    <w:basedOn w:val="1"/>
    <w:link w:val="24"/>
    <w:qFormat/>
    <w:uiPriority w:val="0"/>
    <w:pPr>
      <w:jc w:val="left"/>
    </w:pPr>
  </w:style>
  <w:style w:type="paragraph" w:styleId="8">
    <w:name w:val="Balloon Text"/>
    <w:basedOn w:val="1"/>
    <w:link w:val="21"/>
    <w:qFormat/>
    <w:uiPriority w:val="0"/>
    <w:rPr>
      <w:sz w:val="18"/>
      <w:szCs w:val="18"/>
    </w:rPr>
  </w:style>
  <w:style w:type="paragraph" w:styleId="9">
    <w:name w:val="footer"/>
    <w:basedOn w:val="1"/>
    <w:link w:val="32"/>
    <w:qFormat/>
    <w:uiPriority w:val="99"/>
    <w:pPr>
      <w:tabs>
        <w:tab w:val="center" w:pos="4153"/>
        <w:tab w:val="right" w:pos="8306"/>
      </w:tabs>
      <w:snapToGrid w:val="0"/>
      <w:jc w:val="left"/>
    </w:pPr>
    <w:rPr>
      <w:sz w:val="18"/>
      <w:szCs w:val="18"/>
    </w:rPr>
  </w:style>
  <w:style w:type="paragraph" w:styleId="10">
    <w:name w:val="header"/>
    <w:basedOn w:val="1"/>
    <w:link w:val="31"/>
    <w:qFormat/>
    <w:uiPriority w:val="0"/>
    <w:pP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kern w:val="0"/>
    </w:rPr>
  </w:style>
  <w:style w:type="paragraph" w:styleId="12">
    <w:name w:val="annotation subject"/>
    <w:basedOn w:val="7"/>
    <w:next w:val="7"/>
    <w:link w:val="25"/>
    <w:qFormat/>
    <w:uiPriority w:val="0"/>
    <w:rPr>
      <w:b/>
      <w:bCs/>
    </w:rPr>
  </w:style>
  <w:style w:type="table" w:styleId="14">
    <w:name w:val="Table Grid"/>
    <w:basedOn w:val="1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annotation reference"/>
    <w:basedOn w:val="15"/>
    <w:qFormat/>
    <w:uiPriority w:val="0"/>
    <w:rPr>
      <w:sz w:val="21"/>
      <w:szCs w:val="21"/>
    </w:rPr>
  </w:style>
  <w:style w:type="paragraph" w:customStyle="1" w:styleId="19">
    <w:name w:val="注释"/>
    <w:basedOn w:val="1"/>
    <w:qFormat/>
    <w:uiPriority w:val="0"/>
    <w:rPr>
      <w:rFonts w:eastAsia="楷体_GB2312"/>
      <w:sz w:val="24"/>
    </w:rPr>
  </w:style>
  <w:style w:type="character" w:customStyle="1" w:styleId="20">
    <w:name w:val="标题 1 字符"/>
    <w:basedOn w:val="15"/>
    <w:link w:val="2"/>
    <w:qFormat/>
    <w:uiPriority w:val="0"/>
    <w:rPr>
      <w:rFonts w:asciiTheme="minorHAnsi" w:hAnsiTheme="minorHAnsi" w:eastAsiaTheme="minorEastAsia" w:cstheme="minorBidi"/>
      <w:b/>
      <w:bCs/>
      <w:kern w:val="44"/>
      <w:sz w:val="44"/>
      <w:szCs w:val="44"/>
    </w:rPr>
  </w:style>
  <w:style w:type="character" w:customStyle="1" w:styleId="21">
    <w:name w:val="批注框文本 字符"/>
    <w:basedOn w:val="15"/>
    <w:link w:val="8"/>
    <w:qFormat/>
    <w:uiPriority w:val="0"/>
    <w:rPr>
      <w:rFonts w:asciiTheme="minorHAnsi" w:hAnsiTheme="minorHAnsi" w:eastAsiaTheme="minorEastAsia" w:cstheme="minorBidi"/>
      <w:kern w:val="2"/>
      <w:sz w:val="18"/>
      <w:szCs w:val="18"/>
    </w:rPr>
  </w:style>
  <w:style w:type="paragraph" w:styleId="22">
    <w:name w:val="List Paragraph"/>
    <w:basedOn w:val="1"/>
    <w:qFormat/>
    <w:uiPriority w:val="99"/>
    <w:pPr>
      <w:ind w:firstLine="420"/>
    </w:pPr>
  </w:style>
  <w:style w:type="character" w:customStyle="1" w:styleId="23">
    <w:name w:val="标题 4 字符"/>
    <w:basedOn w:val="15"/>
    <w:link w:val="4"/>
    <w:semiHidden/>
    <w:qFormat/>
    <w:uiPriority w:val="0"/>
    <w:rPr>
      <w:rFonts w:asciiTheme="majorHAnsi" w:hAnsiTheme="majorHAnsi" w:eastAsiaTheme="majorEastAsia" w:cstheme="majorBidi"/>
      <w:b/>
      <w:bCs/>
      <w:kern w:val="2"/>
      <w:sz w:val="28"/>
      <w:szCs w:val="28"/>
    </w:rPr>
  </w:style>
  <w:style w:type="character" w:customStyle="1" w:styleId="24">
    <w:name w:val="批注文字 字符"/>
    <w:basedOn w:val="15"/>
    <w:link w:val="7"/>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12"/>
    <w:qFormat/>
    <w:uiPriority w:val="0"/>
    <w:rPr>
      <w:rFonts w:asciiTheme="minorHAnsi" w:hAnsiTheme="minorHAnsi" w:eastAsiaTheme="minorEastAsia" w:cstheme="minorBidi"/>
      <w:b/>
      <w:bCs/>
      <w:kern w:val="2"/>
      <w:sz w:val="21"/>
      <w:szCs w:val="24"/>
    </w:rPr>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30">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1">
    <w:name w:val="页眉 字符"/>
    <w:basedOn w:val="15"/>
    <w:link w:val="10"/>
    <w:qFormat/>
    <w:uiPriority w:val="0"/>
    <w:rPr>
      <w:rFonts w:asciiTheme="minorHAnsi" w:hAnsiTheme="minorHAnsi" w:eastAsiaTheme="minorEastAsia" w:cstheme="minorBidi"/>
      <w:kern w:val="2"/>
      <w:sz w:val="18"/>
      <w:szCs w:val="18"/>
    </w:rPr>
  </w:style>
  <w:style w:type="character" w:customStyle="1" w:styleId="32">
    <w:name w:val="页脚 字符"/>
    <w:basedOn w:val="15"/>
    <w:link w:val="9"/>
    <w:qFormat/>
    <w:uiPriority w:val="99"/>
    <w:rPr>
      <w:rFonts w:asciiTheme="minorHAnsi" w:hAnsiTheme="minorHAnsi" w:eastAsiaTheme="minorEastAsia" w:cstheme="minorBidi"/>
      <w:kern w:val="2"/>
      <w:sz w:val="18"/>
      <w:szCs w:val="18"/>
    </w:rPr>
  </w:style>
  <w:style w:type="paragraph" w:customStyle="1" w:styleId="33">
    <w:name w:val="编制说明"/>
    <w:basedOn w:val="1"/>
    <w:qFormat/>
    <w:uiPriority w:val="0"/>
    <w:pPr>
      <w:spacing w:line="360" w:lineRule="exact"/>
      <w:ind w:firstLine="880"/>
    </w:pPr>
    <w:rPr>
      <w:rFonts w:ascii="Times New Roman" w:hAnsi="Times New Roman" w:eastAsia="楷体_GB2312"/>
      <w:sz w:val="24"/>
    </w:rPr>
  </w:style>
  <w:style w:type="character" w:customStyle="1" w:styleId="34">
    <w:name w:val="标题 2 字符"/>
    <w:basedOn w:val="15"/>
    <w:link w:val="3"/>
    <w:qFormat/>
    <w:uiPriority w:val="0"/>
    <w:rPr>
      <w:rFonts w:asciiTheme="majorHAnsi" w:hAnsiTheme="majorHAnsi" w:eastAsiaTheme="majorEastAsia" w:cstheme="majorBidi"/>
      <w:b/>
      <w:bCs/>
      <w:kern w:val="2"/>
      <w:sz w:val="32"/>
      <w:szCs w:val="32"/>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36">
    <w:name w:val="表格内容"/>
    <w:basedOn w:val="35"/>
    <w:qFormat/>
    <w:uiPriority w:val="0"/>
    <w:pPr>
      <w:widowControl/>
      <w:jc w:val="center"/>
    </w:pPr>
    <w:rPr>
      <w:rFonts w:ascii="宋体" w:hAnsi="宋体" w:cs="宋体"/>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38">
    <w:name w:val="页脚 New New New New New New New New New New New New New New New New New New New New New New New New New New New New New New New New New New New New New New New New New New New New New New New New New New"/>
    <w:basedOn w:val="39"/>
    <w:qFormat/>
    <w:uiPriority w:val="0"/>
    <w:pPr>
      <w:tabs>
        <w:tab w:val="center" w:pos="4153"/>
        <w:tab w:val="right" w:pos="8306"/>
      </w:tabs>
      <w:snapToGrid w:val="0"/>
      <w:jc w:val="left"/>
    </w:pPr>
    <w:rPr>
      <w:sz w:val="18"/>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仿宋_GB2312" w:cstheme="minorBidi"/>
      <w:kern w:val="2"/>
      <w:sz w:val="32"/>
      <w:lang w:val="en-US" w:eastAsia="zh-CN" w:bidi="ar-SA"/>
    </w:rPr>
  </w:style>
  <w:style w:type="paragraph" w:customStyle="1" w:styleId="40">
    <w:name w:val="Char Char Char Char Char Char1 Char"/>
    <w:basedOn w:val="41"/>
    <w:qFormat/>
    <w:uiPriority w:val="0"/>
    <w:pPr>
      <w:widowControl/>
      <w:spacing w:after="160" w:line="240" w:lineRule="exact"/>
      <w:jc w:val="left"/>
    </w:p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42">
    <w:name w:val="修订4"/>
    <w:hidden/>
    <w:unhideWhenUsed/>
    <w:qFormat/>
    <w:uiPriority w:val="99"/>
    <w:rPr>
      <w:rFonts w:eastAsia="仿宋_GB2312 字体" w:asciiTheme="minorHAnsi" w:hAnsiTheme="minorHAnsi" w:cstheme="minorBidi"/>
      <w:kern w:val="2"/>
      <w:sz w:val="32"/>
      <w:szCs w:val="24"/>
      <w:lang w:val="en-US" w:eastAsia="zh-CN" w:bidi="ar-SA"/>
    </w:rPr>
  </w:style>
  <w:style w:type="paragraph" w:customStyle="1" w:styleId="43">
    <w:name w:val="修订5"/>
    <w:hidden/>
    <w:unhideWhenUsed/>
    <w:qFormat/>
    <w:uiPriority w:val="99"/>
    <w:rPr>
      <w:rFonts w:eastAsia="仿宋_GB2312 字体" w:asciiTheme="minorHAnsi" w:hAnsiTheme="minorHAnsi" w:cstheme="minorBidi"/>
      <w:kern w:val="2"/>
      <w:sz w:val="32"/>
      <w:szCs w:val="24"/>
      <w:lang w:val="en-US" w:eastAsia="zh-CN" w:bidi="ar-SA"/>
    </w:rPr>
  </w:style>
  <w:style w:type="paragraph" w:customStyle="1" w:styleId="44">
    <w:name w:val="修订6"/>
    <w:hidden/>
    <w:unhideWhenUsed/>
    <w:qFormat/>
    <w:uiPriority w:val="99"/>
    <w:rPr>
      <w:rFonts w:eastAsia="仿宋_GB2312 字体" w:asciiTheme="minorHAnsi" w:hAnsiTheme="minorHAnsi" w:cstheme="minorBidi"/>
      <w:kern w:val="2"/>
      <w:sz w:val="32"/>
      <w:szCs w:val="24"/>
      <w:lang w:val="en-US" w:eastAsia="zh-CN" w:bidi="ar-SA"/>
    </w:rPr>
  </w:style>
  <w:style w:type="paragraph" w:customStyle="1" w:styleId="45">
    <w:name w:val="修订7"/>
    <w:hidden/>
    <w:unhideWhenUsed/>
    <w:qFormat/>
    <w:uiPriority w:val="99"/>
    <w:rPr>
      <w:rFonts w:eastAsia="仿宋_GB2312 字体" w:asciiTheme="minorHAnsi" w:hAnsiTheme="minorHAnsi" w:cstheme="minorBidi"/>
      <w:kern w:val="2"/>
      <w:sz w:val="32"/>
      <w:szCs w:val="24"/>
      <w:lang w:val="en-US" w:eastAsia="zh-CN" w:bidi="ar-SA"/>
    </w:rPr>
  </w:style>
  <w:style w:type="paragraph" w:customStyle="1" w:styleId="46">
    <w:name w:val="修订8"/>
    <w:hidden/>
    <w:unhideWhenUsed/>
    <w:qFormat/>
    <w:uiPriority w:val="99"/>
    <w:rPr>
      <w:rFonts w:eastAsia="仿宋_GB2312 字体" w:asciiTheme="minorHAnsi" w:hAnsiTheme="minorHAnsi" w:cstheme="minorBidi"/>
      <w:kern w:val="2"/>
      <w:sz w:val="32"/>
      <w:szCs w:val="24"/>
      <w:lang w:val="en-US" w:eastAsia="zh-CN" w:bidi="ar-SA"/>
    </w:rPr>
  </w:style>
  <w:style w:type="paragraph" w:customStyle="1" w:styleId="47">
    <w:name w:val="修订9"/>
    <w:hidden/>
    <w:unhideWhenUsed/>
    <w:qFormat/>
    <w:uiPriority w:val="99"/>
    <w:rPr>
      <w:rFonts w:eastAsia="仿宋_GB2312 字体" w:asciiTheme="minorHAnsi" w:hAnsiTheme="minorHAnsi" w:cstheme="minorBidi"/>
      <w:kern w:val="2"/>
      <w:sz w:val="32"/>
      <w:szCs w:val="24"/>
      <w:lang w:val="en-US" w:eastAsia="zh-CN" w:bidi="ar-SA"/>
    </w:rPr>
  </w:style>
  <w:style w:type="paragraph" w:customStyle="1" w:styleId="48">
    <w:name w:val="修订10"/>
    <w:hidden/>
    <w:unhideWhenUsed/>
    <w:qFormat/>
    <w:uiPriority w:val="99"/>
    <w:rPr>
      <w:rFonts w:eastAsia="仿宋_GB2312 字体" w:asciiTheme="minorHAnsi" w:hAnsiTheme="minorHAnsi" w:cstheme="minorBidi"/>
      <w:kern w:val="2"/>
      <w:sz w:val="32"/>
      <w:szCs w:val="24"/>
      <w:lang w:val="en-US" w:eastAsia="zh-CN" w:bidi="ar-SA"/>
    </w:rPr>
  </w:style>
  <w:style w:type="paragraph" w:customStyle="1" w:styleId="49">
    <w:name w:val="修订11"/>
    <w:hidden/>
    <w:unhideWhenUsed/>
    <w:qFormat/>
    <w:uiPriority w:val="99"/>
    <w:rPr>
      <w:rFonts w:eastAsia="仿宋_GB2312 字体" w:asciiTheme="minorHAnsi" w:hAnsiTheme="minorHAnsi" w:cstheme="minorBidi"/>
      <w:kern w:val="2"/>
      <w:sz w:val="32"/>
      <w:szCs w:val="24"/>
      <w:lang w:val="en-US" w:eastAsia="zh-CN" w:bidi="ar-SA"/>
    </w:rPr>
  </w:style>
  <w:style w:type="paragraph" w:customStyle="1" w:styleId="50">
    <w:name w:val="修订12"/>
    <w:hidden/>
    <w:unhideWhenUsed/>
    <w:qFormat/>
    <w:uiPriority w:val="99"/>
    <w:rPr>
      <w:rFonts w:eastAsia="仿宋_GB2312 字体" w:asciiTheme="minorHAnsi" w:hAnsiTheme="minorHAnsi" w:cstheme="minorBidi"/>
      <w:kern w:val="2"/>
      <w:sz w:val="32"/>
      <w:szCs w:val="24"/>
      <w:lang w:val="en-US" w:eastAsia="zh-CN" w:bidi="ar-SA"/>
    </w:rPr>
  </w:style>
  <w:style w:type="paragraph" w:customStyle="1" w:styleId="51">
    <w:name w:val="Revision"/>
    <w:hidden/>
    <w:semiHidden/>
    <w:qFormat/>
    <w:uiPriority w:val="99"/>
    <w:rPr>
      <w:rFonts w:eastAsia="仿宋_GB2312 字体"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98636045-4785-4E64-B2A3-0F7C8E414D80}">
  <ds:schemaRefs/>
</ds:datastoreItem>
</file>

<file path=docProps/app.xml><?xml version="1.0" encoding="utf-8"?>
<Properties xmlns="http://schemas.openxmlformats.org/officeDocument/2006/extended-properties" xmlns:vt="http://schemas.openxmlformats.org/officeDocument/2006/docPropsVTypes">
  <Template>Normal</Template>
  <Pages>12</Pages>
  <Words>14180</Words>
  <Characters>14689</Characters>
  <Lines>125</Lines>
  <Paragraphs>35</Paragraphs>
  <TotalTime>35</TotalTime>
  <ScaleCrop>false</ScaleCrop>
  <LinksUpToDate>false</LinksUpToDate>
  <CharactersWithSpaces>14739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2024-06-14T18:28:00Z</dcterms:created>
  <cp:lastPrinted>2024-08-12T06:09:41Z</cp:lastPrinted>
  <dcterms:modified xsi:type="dcterms:W3CDTF">2024-08-12T06:11:29Z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006CBC8916464AB0ACADBF7B74C609D0_13</vt:lpwstr>
  </property>
</Properties>
</file>