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附件1</w:t>
      </w:r>
    </w:p>
    <w:p>
      <w:pPr>
        <w:spacing w:line="560" w:lineRule="exact"/>
        <w:jc w:val="center"/>
        <w:rPr>
          <w:rFonts w:ascii="方正小标宋_GBK" w:hAnsi="方正小标宋_GBK" w:eastAsia="方正小标宋_GBK" w:cs="方正小标宋_GBK"/>
          <w:sz w:val="44"/>
          <w:szCs w:val="44"/>
        </w:rPr>
      </w:pP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广州市花都区中小学生研学实践教育基地</w:t>
      </w: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（营地）服务与评定规范（试行）</w:t>
      </w:r>
      <w:bookmarkStart w:id="0" w:name="_Toc24493935"/>
      <w:bookmarkStart w:id="1" w:name="_Toc24494009"/>
    </w:p>
    <w:bookmarkEnd w:id="0"/>
    <w:bookmarkEnd w:id="1"/>
    <w:p>
      <w:pPr>
        <w:spacing w:line="360" w:lineRule="auto"/>
        <w:ind w:firstLine="640" w:firstLineChars="200"/>
        <w:jc w:val="left"/>
        <w:rPr>
          <w:rFonts w:ascii="仿宋" w:hAnsi="仿宋" w:eastAsia="仿宋" w:cs="仿宋"/>
          <w:sz w:val="32"/>
          <w:szCs w:val="32"/>
        </w:rPr>
      </w:pP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为贯彻党的</w:t>
      </w:r>
      <w:r>
        <w:rPr>
          <w:rFonts w:hint="eastAsia" w:ascii="仿宋" w:hAnsi="仿宋" w:eastAsia="仿宋" w:cs="仿宋"/>
          <w:sz w:val="32"/>
          <w:szCs w:val="32"/>
          <w:lang w:val="en-US" w:eastAsia="zh-CN"/>
        </w:rPr>
        <w:t>二十</w:t>
      </w:r>
      <w:r>
        <w:rPr>
          <w:rFonts w:hint="eastAsia" w:ascii="仿宋" w:hAnsi="仿宋" w:eastAsia="仿宋" w:cs="仿宋"/>
          <w:sz w:val="32"/>
          <w:szCs w:val="32"/>
        </w:rPr>
        <w:t>大</w:t>
      </w:r>
      <w:r>
        <w:rPr>
          <w:rFonts w:hint="eastAsia" w:ascii="仿宋" w:hAnsi="仿宋" w:eastAsia="仿宋" w:cs="仿宋"/>
          <w:sz w:val="32"/>
          <w:szCs w:val="32"/>
          <w:lang w:val="en-US" w:eastAsia="zh-CN"/>
        </w:rPr>
        <w:t>及二十届三中全会</w:t>
      </w:r>
      <w:r>
        <w:rPr>
          <w:rFonts w:hint="eastAsia" w:ascii="仿宋" w:hAnsi="仿宋" w:eastAsia="仿宋" w:cs="仿宋"/>
          <w:sz w:val="32"/>
          <w:szCs w:val="32"/>
        </w:rPr>
        <w:t>精神，进一步</w:t>
      </w:r>
      <w:bookmarkStart w:id="5" w:name="_GoBack"/>
      <w:bookmarkEnd w:id="5"/>
      <w:r>
        <w:rPr>
          <w:rFonts w:hint="eastAsia" w:ascii="仿宋" w:hAnsi="仿宋" w:eastAsia="仿宋" w:cs="仿宋"/>
          <w:sz w:val="32"/>
          <w:szCs w:val="32"/>
        </w:rPr>
        <w:t>落实《教育部等11部门关于推进中小学生研学旅行的意见》《广东省12厅局关于推进中小学生研学旅行的实施意见》</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广州市教育局等9部门关于推进中小学生研学旅行工作的实施意见</w:t>
      </w:r>
      <w:r>
        <w:rPr>
          <w:rFonts w:hint="eastAsia" w:ascii="仿宋_GB2312" w:hAnsi="仿宋" w:eastAsia="仿宋_GB2312" w:cs="仿宋"/>
          <w:sz w:val="32"/>
          <w:szCs w:val="32"/>
          <w:lang w:eastAsia="zh-CN"/>
        </w:rPr>
        <w:t>》</w:t>
      </w:r>
      <w:r>
        <w:rPr>
          <w:rFonts w:hint="eastAsia" w:ascii="仿宋" w:hAnsi="仿宋" w:eastAsia="仿宋" w:cs="仿宋"/>
          <w:sz w:val="32"/>
          <w:szCs w:val="32"/>
        </w:rPr>
        <w:t>的文件精神，落实立德树人根本任务，着力提高中小学生社会责任感、创新精神和实践能力，积极推动花都区中小学生研学实践教育活动深入开展，完善基地（营地）服务的标准体系，提升基地（营地）服务和管理质量，充分发挥基地（营地）的研学</w:t>
      </w:r>
      <w:r>
        <w:rPr>
          <w:rFonts w:hint="eastAsia" w:ascii="仿宋" w:hAnsi="仿宋" w:eastAsia="仿宋" w:cs="仿宋"/>
          <w:sz w:val="32"/>
          <w:szCs w:val="32"/>
          <w:lang w:val="en-US" w:eastAsia="zh-CN"/>
        </w:rPr>
        <w:t>实践</w:t>
      </w:r>
      <w:r>
        <w:rPr>
          <w:rFonts w:hint="eastAsia" w:ascii="仿宋" w:hAnsi="仿宋" w:eastAsia="仿宋" w:cs="仿宋"/>
          <w:sz w:val="32"/>
          <w:szCs w:val="32"/>
        </w:rPr>
        <w:t>教育功能，现遵循教育性原则、实践性原则、安全性原则和公益性原则，结合花都区实际，制订本规范。</w:t>
      </w:r>
    </w:p>
    <w:p>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本《规范》所称“基地、营地”，指由政府或社会力量创办的、具备承接中小学生研学实践教育活动能力、运营良好的以下主题板块场所：</w:t>
      </w:r>
    </w:p>
    <w:p>
      <w:pPr>
        <w:spacing w:line="360" w:lineRule="auto"/>
        <w:ind w:firstLine="643" w:firstLineChars="200"/>
        <w:jc w:val="left"/>
        <w:rPr>
          <w:rFonts w:ascii="仿宋" w:hAnsi="仿宋" w:eastAsia="仿宋" w:cs="仿宋"/>
          <w:sz w:val="32"/>
          <w:szCs w:val="32"/>
        </w:rPr>
      </w:pPr>
      <w:r>
        <w:rPr>
          <w:rFonts w:hint="eastAsia" w:ascii="楷体" w:hAnsi="楷体" w:eastAsia="楷体" w:cs="楷体"/>
          <w:b/>
          <w:bCs/>
          <w:sz w:val="32"/>
          <w:szCs w:val="32"/>
        </w:rPr>
        <w:t>（一）优秀传统文化板块。</w:t>
      </w:r>
      <w:r>
        <w:rPr>
          <w:rFonts w:hint="eastAsia" w:ascii="仿宋" w:hAnsi="仿宋" w:eastAsia="仿宋" w:cs="仿宋"/>
          <w:sz w:val="32"/>
          <w:szCs w:val="32"/>
        </w:rPr>
        <w:t>包括旅游服务功能完善的文物保护单位、古籍保护单位、博物馆、非遗场所、优秀传统文化教育基地等单位。</w:t>
      </w:r>
    </w:p>
    <w:p>
      <w:pPr>
        <w:spacing w:line="360" w:lineRule="auto"/>
        <w:ind w:firstLine="643" w:firstLineChars="200"/>
        <w:jc w:val="left"/>
        <w:rPr>
          <w:rFonts w:ascii="仿宋" w:hAnsi="仿宋" w:eastAsia="仿宋" w:cs="仿宋"/>
          <w:sz w:val="32"/>
          <w:szCs w:val="32"/>
        </w:rPr>
      </w:pPr>
      <w:r>
        <w:rPr>
          <w:rFonts w:hint="eastAsia" w:ascii="楷体" w:hAnsi="楷体" w:eastAsia="楷体" w:cs="楷体"/>
          <w:b/>
          <w:bCs/>
          <w:sz w:val="32"/>
          <w:szCs w:val="32"/>
        </w:rPr>
        <w:t>（二）革命传统教育板块。</w:t>
      </w:r>
      <w:r>
        <w:rPr>
          <w:rFonts w:hint="eastAsia" w:ascii="仿宋" w:hAnsi="仿宋" w:eastAsia="仿宋" w:cs="仿宋"/>
          <w:sz w:val="32"/>
          <w:szCs w:val="32"/>
        </w:rPr>
        <w:t>包括爱国主义教育基地、革命历史类纪念设施遗址等单位。</w:t>
      </w:r>
    </w:p>
    <w:p>
      <w:pPr>
        <w:spacing w:line="360" w:lineRule="auto"/>
        <w:ind w:firstLine="643" w:firstLineChars="200"/>
        <w:jc w:val="left"/>
        <w:rPr>
          <w:rFonts w:ascii="仿宋" w:hAnsi="仿宋" w:eastAsia="仿宋" w:cs="仿宋"/>
          <w:sz w:val="32"/>
          <w:szCs w:val="32"/>
        </w:rPr>
      </w:pPr>
      <w:r>
        <w:rPr>
          <w:rFonts w:hint="eastAsia" w:ascii="楷体" w:hAnsi="楷体" w:eastAsia="楷体" w:cs="楷体"/>
          <w:b/>
          <w:bCs/>
          <w:sz w:val="32"/>
          <w:szCs w:val="32"/>
        </w:rPr>
        <w:t>（三）国情教育板块。</w:t>
      </w:r>
      <w:r>
        <w:rPr>
          <w:rFonts w:hint="eastAsia" w:ascii="仿宋" w:hAnsi="仿宋" w:eastAsia="仿宋" w:cs="仿宋"/>
          <w:sz w:val="32"/>
          <w:szCs w:val="32"/>
        </w:rPr>
        <w:t>包括体现基本国情和改革开放成就的美丽乡村、传统村落、特色小镇、大型知名企业、大型公共设施、重大工程等单位。</w:t>
      </w:r>
    </w:p>
    <w:p>
      <w:pPr>
        <w:spacing w:line="360" w:lineRule="auto"/>
        <w:ind w:firstLine="643" w:firstLineChars="200"/>
        <w:jc w:val="left"/>
        <w:rPr>
          <w:rFonts w:ascii="仿宋" w:hAnsi="仿宋" w:eastAsia="仿宋" w:cs="仿宋"/>
          <w:sz w:val="32"/>
          <w:szCs w:val="32"/>
        </w:rPr>
      </w:pPr>
      <w:r>
        <w:rPr>
          <w:rFonts w:hint="eastAsia" w:ascii="楷体" w:hAnsi="楷体" w:eastAsia="楷体" w:cs="楷体"/>
          <w:b/>
          <w:bCs/>
          <w:sz w:val="32"/>
          <w:szCs w:val="32"/>
        </w:rPr>
        <w:t>（四）国防科工板块。</w:t>
      </w:r>
      <w:r>
        <w:rPr>
          <w:rFonts w:hint="eastAsia" w:ascii="仿宋" w:hAnsi="仿宋" w:eastAsia="仿宋" w:cs="仿宋"/>
          <w:sz w:val="32"/>
          <w:szCs w:val="32"/>
        </w:rPr>
        <w:t>包括安全教育基地、国防教育基地、科技馆、科普教育基地、科技创新基地、高等学校、科研院所等单位。</w:t>
      </w:r>
    </w:p>
    <w:p>
      <w:pPr>
        <w:spacing w:line="360" w:lineRule="auto"/>
        <w:ind w:firstLine="643" w:firstLineChars="200"/>
        <w:jc w:val="left"/>
        <w:rPr>
          <w:rFonts w:ascii="仿宋" w:hAnsi="仿宋" w:eastAsia="仿宋" w:cs="仿宋"/>
          <w:sz w:val="32"/>
          <w:szCs w:val="32"/>
        </w:rPr>
      </w:pPr>
      <w:r>
        <w:rPr>
          <w:rFonts w:hint="eastAsia" w:ascii="楷体" w:hAnsi="楷体" w:eastAsia="楷体" w:cs="楷体"/>
          <w:b/>
          <w:bCs/>
          <w:sz w:val="32"/>
          <w:szCs w:val="32"/>
        </w:rPr>
        <w:t>（五）自然生态板块。</w:t>
      </w:r>
      <w:r>
        <w:rPr>
          <w:rFonts w:hint="eastAsia" w:ascii="仿宋" w:hAnsi="仿宋" w:eastAsia="仿宋" w:cs="仿宋"/>
          <w:sz w:val="32"/>
          <w:szCs w:val="32"/>
        </w:rPr>
        <w:t>包括自然景区、森林公园、城镇公园、植物园、动物园、风景名胜区、示范性农业基地、生态保护区、野生动物保护基地等单位。</w:t>
      </w:r>
    </w:p>
    <w:p>
      <w:pPr>
        <w:spacing w:line="360" w:lineRule="auto"/>
        <w:ind w:firstLine="643" w:firstLineChars="200"/>
        <w:jc w:val="left"/>
        <w:rPr>
          <w:rFonts w:ascii="仿宋" w:hAnsi="仿宋" w:eastAsia="仿宋" w:cs="仿宋"/>
          <w:sz w:val="32"/>
          <w:szCs w:val="32"/>
        </w:rPr>
      </w:pPr>
      <w:r>
        <w:rPr>
          <w:rFonts w:hint="eastAsia" w:ascii="楷体" w:hAnsi="楷体" w:eastAsia="楷体" w:cs="楷体"/>
          <w:b/>
          <w:bCs/>
          <w:sz w:val="32"/>
          <w:szCs w:val="32"/>
        </w:rPr>
        <w:t>（六）劳动实践板块。</w:t>
      </w:r>
      <w:r>
        <w:rPr>
          <w:rFonts w:hint="eastAsia" w:ascii="仿宋" w:hAnsi="仿宋" w:eastAsia="仿宋" w:cs="仿宋"/>
          <w:sz w:val="32"/>
          <w:szCs w:val="32"/>
        </w:rPr>
        <w:t>包括农业生产基地、工业体验基地、商业和职业体验基地等单位。</w:t>
      </w:r>
    </w:p>
    <w:p>
      <w:pPr>
        <w:spacing w:line="360" w:lineRule="auto"/>
        <w:ind w:firstLine="640" w:firstLineChars="200"/>
        <w:jc w:val="left"/>
        <w:rPr>
          <w:rFonts w:ascii="仿宋" w:hAnsi="仿宋" w:eastAsia="仿宋" w:cs="仿宋"/>
          <w:sz w:val="32"/>
          <w:szCs w:val="32"/>
        </w:rPr>
        <w:sectPr>
          <w:footerReference r:id="rId3" w:type="default"/>
          <w:footerReference r:id="rId4" w:type="even"/>
          <w:type w:val="continuous"/>
          <w:pgSz w:w="11906" w:h="16838"/>
          <w:pgMar w:top="1418" w:right="1588" w:bottom="1418" w:left="1588" w:header="851" w:footer="992" w:gutter="0"/>
          <w:pgNumType w:fmt="numberInDash" w:start="1"/>
          <w:cols w:space="425" w:num="1"/>
          <w:titlePg/>
          <w:docGrid w:type="lines" w:linePitch="312" w:charSpace="0"/>
        </w:sectPr>
      </w:pPr>
      <w:r>
        <w:rPr>
          <w:rFonts w:hint="eastAsia" w:ascii="仿宋" w:hAnsi="仿宋" w:eastAsia="仿宋" w:cs="仿宋"/>
          <w:sz w:val="32"/>
          <w:szCs w:val="32"/>
        </w:rPr>
        <w:t>本《规范》包含10项一级指标、30项二级指标、65项三级指标，均为基地（营地）准入条件，依据《广州市花都区中小学生研学实践教育基地(营地)服务与评定检查表》（见附表），基地（营地）自评总分达60分以上且所有“必备项”（标有★）均达标者方可提交申报，专家综合评定总分达80分以上予以准入和挂牌。</w:t>
      </w:r>
    </w:p>
    <w:p>
      <w:pPr>
        <w:pStyle w:val="135"/>
      </w:pPr>
      <w:r>
        <w:br w:type="textWrapping"/>
      </w:r>
      <w:bookmarkStart w:id="2" w:name="_Toc24581112"/>
      <w:bookmarkStart w:id="3" w:name="_Toc24494019"/>
      <w:bookmarkStart w:id="4" w:name="_Toc24493945"/>
      <w:r>
        <w:rPr>
          <w:rFonts w:hint="eastAsia"/>
        </w:rPr>
        <w:t>（规范性附录）</w:t>
      </w:r>
      <w:r>
        <w:br w:type="textWrapping"/>
      </w:r>
      <w:bookmarkEnd w:id="2"/>
      <w:bookmarkEnd w:id="3"/>
      <w:bookmarkEnd w:id="4"/>
      <w:r>
        <w:rPr>
          <w:rFonts w:hint="eastAsia"/>
        </w:rPr>
        <w:t>广州市花都区中小学生研学实践教育基地（营地）服务与评定检查表</w:t>
      </w:r>
    </w:p>
    <w:p>
      <w:pPr>
        <w:pStyle w:val="71"/>
        <w:spacing w:before="312" w:after="312"/>
      </w:pPr>
      <w:r>
        <w:rPr>
          <w:rFonts w:hint="eastAsia"/>
        </w:rPr>
        <w:t>检查要求</w:t>
      </w:r>
    </w:p>
    <w:p>
      <w:pPr>
        <w:pStyle w:val="27"/>
      </w:pPr>
      <w:r>
        <w:t>本表依</w:t>
      </w:r>
      <w:r>
        <w:rPr>
          <w:spacing w:val="-5"/>
        </w:rPr>
        <w:t>据</w:t>
      </w:r>
      <w:r>
        <w:rPr>
          <w:rFonts w:hint="eastAsia"/>
          <w:spacing w:val="-5"/>
        </w:rPr>
        <w:t>广州市花都区中小学生研学实践教育基地（营地）服务</w:t>
      </w:r>
      <w:r>
        <w:rPr>
          <w:rFonts w:hint="eastAsia" w:hAnsi="宋体" w:cs="宋体"/>
          <w:color w:val="000000"/>
          <w:szCs w:val="21"/>
        </w:rPr>
        <w:t>与评定规范</w:t>
      </w:r>
      <w:r>
        <w:rPr>
          <w:rFonts w:hint="eastAsia"/>
          <w:spacing w:val="-10"/>
        </w:rPr>
        <w:t>制定</w:t>
      </w:r>
      <w:r>
        <w:t>。</w:t>
      </w:r>
    </w:p>
    <w:p>
      <w:pPr>
        <w:spacing w:beforeLines="50" w:afterLines="50"/>
        <w:jc w:val="center"/>
        <w:rPr>
          <w:rFonts w:ascii="黑体" w:hAnsi="Calibri" w:eastAsia="黑体" w:cs="Times New Roman"/>
        </w:rPr>
      </w:pPr>
      <w:r>
        <w:rPr>
          <w:rFonts w:hint="eastAsia" w:ascii="黑体" w:hAnsi="Calibri" w:eastAsia="黑体" w:cs="Times New Roman"/>
        </w:rPr>
        <w:t>表A.1广州市花都区中小学生研学实践教育基地（营地）服务与评定检查表</w:t>
      </w:r>
    </w:p>
    <w:p>
      <w:pPr>
        <w:pStyle w:val="2"/>
      </w:pPr>
    </w:p>
    <w:tbl>
      <w:tblPr>
        <w:tblStyle w:val="36"/>
        <w:tblW w:w="14740" w:type="dxa"/>
        <w:jc w:val="center"/>
        <w:tblLayout w:type="fixed"/>
        <w:tblCellMar>
          <w:top w:w="0" w:type="dxa"/>
          <w:left w:w="0" w:type="dxa"/>
          <w:bottom w:w="0" w:type="dxa"/>
          <w:right w:w="0" w:type="dxa"/>
        </w:tblCellMar>
      </w:tblPr>
      <w:tblGrid>
        <w:gridCol w:w="1437"/>
        <w:gridCol w:w="1680"/>
        <w:gridCol w:w="7764"/>
        <w:gridCol w:w="804"/>
        <w:gridCol w:w="2220"/>
        <w:gridCol w:w="835"/>
      </w:tblGrid>
      <w:tr>
        <w:tblPrEx>
          <w:tblCellMar>
            <w:top w:w="0" w:type="dxa"/>
            <w:left w:w="0" w:type="dxa"/>
            <w:bottom w:w="0" w:type="dxa"/>
            <w:right w:w="0" w:type="dxa"/>
          </w:tblCellMar>
        </w:tblPrEx>
        <w:trPr>
          <w:trHeight w:val="290" w:hRule="atLeast"/>
          <w:jc w:val="center"/>
        </w:trPr>
        <w:tc>
          <w:tcPr>
            <w:tcW w:w="14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一级指标</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二级指标</w:t>
            </w:r>
          </w:p>
        </w:tc>
        <w:tc>
          <w:tcPr>
            <w:tcW w:w="7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三级指标</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分值</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评分标准</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rPr>
              <w:t>得分</w:t>
            </w:r>
          </w:p>
        </w:tc>
      </w:tr>
      <w:tr>
        <w:tblPrEx>
          <w:tblCellMar>
            <w:top w:w="0" w:type="dxa"/>
            <w:left w:w="0" w:type="dxa"/>
            <w:bottom w:w="0" w:type="dxa"/>
            <w:right w:w="0" w:type="dxa"/>
          </w:tblCellMar>
        </w:tblPrEx>
        <w:trPr>
          <w:trHeight w:val="576" w:hRule="atLeast"/>
          <w:jc w:val="center"/>
        </w:trPr>
        <w:tc>
          <w:tcPr>
            <w:tcW w:w="143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
                <w:bCs/>
                <w:color w:val="000000"/>
                <w:kern w:val="0"/>
                <w:szCs w:val="21"/>
              </w:rPr>
            </w:pPr>
            <w:r>
              <w:rPr>
                <w:rFonts w:hint="eastAsia" w:ascii="宋体" w:hAnsi="宋体" w:eastAsia="宋体" w:cs="宋体"/>
                <w:b/>
                <w:bCs/>
                <w:color w:val="000000"/>
                <w:kern w:val="0"/>
                <w:szCs w:val="21"/>
              </w:rPr>
              <w:t>一、资质条件</w:t>
            </w:r>
          </w:p>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（8分）</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独立法人资质</w:t>
            </w:r>
          </w:p>
        </w:tc>
        <w:tc>
          <w:tcPr>
            <w:tcW w:w="7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1.1基地（营地）应具备法人资质，有营业执照或相关经营许可证，正式运营1年以上。</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仿宋" w:hAnsi="仿宋" w:eastAsia="仿宋" w:cs="仿宋"/>
                <w:color w:val="000000"/>
                <w:kern w:val="0"/>
                <w:szCs w:val="21"/>
              </w:rPr>
              <w:t>★</w:t>
            </w:r>
            <w:r>
              <w:rPr>
                <w:rFonts w:hint="eastAsia" w:ascii="宋体" w:hAnsi="宋体" w:eastAsia="宋体" w:cs="宋体"/>
                <w:color w:val="000000"/>
                <w:kern w:val="0"/>
                <w:szCs w:val="21"/>
              </w:rPr>
              <w:t>必备项，合则1分，不合则无申报资格。</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Cs w:val="21"/>
              </w:rPr>
            </w:pPr>
          </w:p>
        </w:tc>
      </w:tr>
      <w:tr>
        <w:tblPrEx>
          <w:tblCellMar>
            <w:top w:w="0" w:type="dxa"/>
            <w:left w:w="0" w:type="dxa"/>
            <w:bottom w:w="0" w:type="dxa"/>
            <w:right w:w="0" w:type="dxa"/>
          </w:tblCellMar>
        </w:tblPrEx>
        <w:trPr>
          <w:trHeight w:val="312" w:hRule="atLeast"/>
          <w:jc w:val="center"/>
        </w:trPr>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b/>
                <w:bCs/>
                <w:color w:val="000000"/>
                <w:szCs w:val="21"/>
              </w:rPr>
            </w:pP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安全、信用</w:t>
            </w:r>
          </w:p>
        </w:tc>
        <w:tc>
          <w:tcPr>
            <w:tcW w:w="7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1.2基地（营地）应无安全责任事故等不良记录。</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仿宋" w:hAnsi="仿宋" w:eastAsia="仿宋" w:cs="仿宋"/>
                <w:color w:val="000000"/>
                <w:kern w:val="0"/>
                <w:szCs w:val="21"/>
              </w:rPr>
              <w:t>★</w:t>
            </w:r>
            <w:r>
              <w:rPr>
                <w:rFonts w:hint="eastAsia" w:ascii="宋体" w:hAnsi="宋体" w:eastAsia="宋体" w:cs="宋体"/>
                <w:color w:val="000000"/>
                <w:kern w:val="0"/>
                <w:szCs w:val="21"/>
              </w:rPr>
              <w:t>必备项，合则3分，不合则无申报资格。</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Cs w:val="21"/>
              </w:rPr>
            </w:pPr>
          </w:p>
        </w:tc>
      </w:tr>
      <w:tr>
        <w:tblPrEx>
          <w:tblCellMar>
            <w:top w:w="0" w:type="dxa"/>
            <w:left w:w="0" w:type="dxa"/>
            <w:bottom w:w="0" w:type="dxa"/>
            <w:right w:w="0" w:type="dxa"/>
          </w:tblCellMar>
        </w:tblPrEx>
        <w:trPr>
          <w:trHeight w:val="576" w:hRule="atLeast"/>
          <w:jc w:val="center"/>
        </w:trPr>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b/>
                <w:bCs/>
                <w:color w:val="000000"/>
                <w:szCs w:val="21"/>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b/>
                <w:bCs/>
                <w:color w:val="000000"/>
                <w:szCs w:val="21"/>
              </w:rPr>
            </w:pPr>
          </w:p>
        </w:tc>
        <w:tc>
          <w:tcPr>
            <w:tcW w:w="7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1.3基地（营地）应在国家税务总局官网查询的企业纳税信用等级至少为 B级。</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仿宋" w:hAnsi="仿宋" w:eastAsia="仿宋" w:cs="仿宋"/>
                <w:color w:val="000000"/>
                <w:kern w:val="0"/>
                <w:szCs w:val="21"/>
              </w:rPr>
              <w:t>★</w:t>
            </w:r>
            <w:r>
              <w:rPr>
                <w:rFonts w:hint="eastAsia" w:ascii="宋体" w:hAnsi="宋体" w:eastAsia="宋体" w:cs="宋体"/>
                <w:color w:val="000000"/>
                <w:kern w:val="0"/>
                <w:szCs w:val="21"/>
              </w:rPr>
              <w:t>必备项，合则3分，不合则无申报资格。</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Cs w:val="21"/>
              </w:rPr>
            </w:pPr>
          </w:p>
        </w:tc>
      </w:tr>
      <w:tr>
        <w:tblPrEx>
          <w:tblCellMar>
            <w:top w:w="0" w:type="dxa"/>
            <w:left w:w="0" w:type="dxa"/>
            <w:bottom w:w="0" w:type="dxa"/>
            <w:right w:w="0" w:type="dxa"/>
          </w:tblCellMar>
        </w:tblPrEx>
        <w:trPr>
          <w:trHeight w:val="312" w:hRule="atLeast"/>
          <w:jc w:val="center"/>
        </w:trPr>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b/>
                <w:bCs/>
                <w:color w:val="000000"/>
                <w:szCs w:val="21"/>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明确接待情况</w:t>
            </w:r>
          </w:p>
        </w:tc>
        <w:tc>
          <w:tcPr>
            <w:tcW w:w="7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1.4基地（营地）应明确提供可接纳的学生人数和年龄层段。</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仿宋" w:hAnsi="仿宋" w:eastAsia="仿宋" w:cs="仿宋"/>
                <w:color w:val="000000"/>
                <w:kern w:val="0"/>
                <w:szCs w:val="21"/>
              </w:rPr>
              <w:t>★</w:t>
            </w:r>
            <w:r>
              <w:rPr>
                <w:rFonts w:hint="eastAsia" w:ascii="宋体" w:hAnsi="宋体" w:eastAsia="宋体" w:cs="宋体"/>
                <w:color w:val="000000"/>
                <w:kern w:val="0"/>
                <w:szCs w:val="21"/>
              </w:rPr>
              <w:t>必备项，合则1分，不合则无申报资格。</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Cs w:val="21"/>
              </w:rPr>
            </w:pPr>
          </w:p>
        </w:tc>
      </w:tr>
      <w:tr>
        <w:tblPrEx>
          <w:tblCellMar>
            <w:top w:w="0" w:type="dxa"/>
            <w:left w:w="0" w:type="dxa"/>
            <w:bottom w:w="0" w:type="dxa"/>
            <w:right w:w="0" w:type="dxa"/>
          </w:tblCellMar>
        </w:tblPrEx>
        <w:trPr>
          <w:trHeight w:val="864" w:hRule="atLeast"/>
          <w:jc w:val="center"/>
        </w:trPr>
        <w:tc>
          <w:tcPr>
            <w:tcW w:w="143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二、基础设施（17分）</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场所、教具</w:t>
            </w:r>
          </w:p>
        </w:tc>
        <w:tc>
          <w:tcPr>
            <w:tcW w:w="7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2.1基地（营地）应具有可供学生教学、活动、体验、休整的场所，且布局科学合理、功用齐全，能够满足开展研学</w:t>
            </w:r>
            <w:r>
              <w:rPr>
                <w:rFonts w:hint="eastAsia" w:ascii="宋体" w:hAnsi="宋体" w:eastAsia="宋体" w:cs="宋体"/>
                <w:color w:val="000000"/>
                <w:kern w:val="0"/>
                <w:szCs w:val="21"/>
                <w:lang w:val="en-US" w:eastAsia="zh-CN"/>
              </w:rPr>
              <w:t>实践</w:t>
            </w:r>
            <w:r>
              <w:rPr>
                <w:rFonts w:hint="eastAsia" w:ascii="宋体" w:hAnsi="宋体" w:eastAsia="宋体" w:cs="宋体"/>
                <w:color w:val="000000"/>
                <w:kern w:val="0"/>
                <w:szCs w:val="21"/>
              </w:rPr>
              <w:t>活动的需求。</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布局、功用合理4分；较好2分；一般1分。</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Cs w:val="21"/>
              </w:rPr>
            </w:pPr>
          </w:p>
        </w:tc>
      </w:tr>
      <w:tr>
        <w:tblPrEx>
          <w:tblCellMar>
            <w:top w:w="0" w:type="dxa"/>
            <w:left w:w="0" w:type="dxa"/>
            <w:bottom w:w="0" w:type="dxa"/>
            <w:right w:w="0" w:type="dxa"/>
          </w:tblCellMar>
        </w:tblPrEx>
        <w:trPr>
          <w:trHeight w:val="576" w:hRule="atLeast"/>
          <w:jc w:val="center"/>
        </w:trPr>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b/>
                <w:bCs/>
                <w:color w:val="000000"/>
                <w:szCs w:val="21"/>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b/>
                <w:bCs/>
                <w:color w:val="000000"/>
                <w:szCs w:val="21"/>
              </w:rPr>
            </w:pPr>
          </w:p>
        </w:tc>
        <w:tc>
          <w:tcPr>
            <w:tcW w:w="7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2.2基地（营地）应具有与研学</w:t>
            </w:r>
            <w:r>
              <w:rPr>
                <w:rFonts w:hint="eastAsia" w:ascii="宋体" w:hAnsi="宋体" w:eastAsia="宋体" w:cs="宋体"/>
                <w:color w:val="000000"/>
                <w:kern w:val="0"/>
                <w:szCs w:val="21"/>
                <w:lang w:val="en-US" w:eastAsia="zh-CN"/>
              </w:rPr>
              <w:t>实践</w:t>
            </w:r>
            <w:r>
              <w:rPr>
                <w:rFonts w:hint="eastAsia" w:ascii="宋体" w:hAnsi="宋体" w:eastAsia="宋体" w:cs="宋体"/>
                <w:color w:val="000000"/>
                <w:kern w:val="0"/>
                <w:szCs w:val="21"/>
              </w:rPr>
              <w:t>活动相匹配的教学设施和器材，且各项教学用具、器材性能完好。</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齐全、完好3分；较好2分；一般1分。</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Cs w:val="21"/>
              </w:rPr>
            </w:pPr>
          </w:p>
        </w:tc>
      </w:tr>
      <w:tr>
        <w:tblPrEx>
          <w:tblCellMar>
            <w:top w:w="0" w:type="dxa"/>
            <w:left w:w="0" w:type="dxa"/>
            <w:bottom w:w="0" w:type="dxa"/>
            <w:right w:w="0" w:type="dxa"/>
          </w:tblCellMar>
        </w:tblPrEx>
        <w:trPr>
          <w:trHeight w:val="576" w:hRule="atLeast"/>
          <w:jc w:val="center"/>
        </w:trPr>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b/>
                <w:bCs/>
                <w:color w:val="000000"/>
                <w:szCs w:val="21"/>
              </w:rPr>
            </w:pP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安全设备</w:t>
            </w:r>
          </w:p>
        </w:tc>
        <w:tc>
          <w:tcPr>
            <w:tcW w:w="7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2.3基地（营地）内安装有录像监控设备，实行全天候、全方位录像监控，影像资料保存15天以上。</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正常、完好，保存天数符合要求2分；一般1分。</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Cs w:val="21"/>
              </w:rPr>
            </w:pPr>
          </w:p>
        </w:tc>
      </w:tr>
      <w:tr>
        <w:tblPrEx>
          <w:tblCellMar>
            <w:top w:w="0" w:type="dxa"/>
            <w:left w:w="0" w:type="dxa"/>
            <w:bottom w:w="0" w:type="dxa"/>
            <w:right w:w="0" w:type="dxa"/>
          </w:tblCellMar>
        </w:tblPrEx>
        <w:trPr>
          <w:trHeight w:val="576" w:hRule="atLeast"/>
          <w:jc w:val="center"/>
        </w:trPr>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b/>
                <w:bCs/>
                <w:color w:val="000000"/>
                <w:szCs w:val="21"/>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b/>
                <w:bCs/>
                <w:color w:val="000000"/>
                <w:szCs w:val="21"/>
              </w:rPr>
            </w:pPr>
          </w:p>
        </w:tc>
        <w:tc>
          <w:tcPr>
            <w:tcW w:w="7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2.4基地（营地）应保持通讯畅通，并提供覆盖基地（营地）的无线网络。</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合则1分，不合0分，没有中间分值。</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Cs w:val="21"/>
              </w:rPr>
            </w:pPr>
          </w:p>
        </w:tc>
      </w:tr>
      <w:tr>
        <w:tblPrEx>
          <w:tblCellMar>
            <w:top w:w="0" w:type="dxa"/>
            <w:left w:w="0" w:type="dxa"/>
            <w:bottom w:w="0" w:type="dxa"/>
            <w:right w:w="0" w:type="dxa"/>
          </w:tblCellMar>
        </w:tblPrEx>
        <w:trPr>
          <w:trHeight w:val="576" w:hRule="atLeast"/>
          <w:jc w:val="center"/>
        </w:trPr>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b/>
                <w:bCs/>
                <w:color w:val="000000"/>
                <w:szCs w:val="21"/>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b/>
                <w:bCs/>
                <w:color w:val="000000"/>
                <w:szCs w:val="21"/>
              </w:rPr>
            </w:pPr>
          </w:p>
        </w:tc>
        <w:tc>
          <w:tcPr>
            <w:tcW w:w="7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2.5基地（营地）设置有规范标识，突出安全警示标志，危险地带设安全防护设施。</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合则1分，不合0分，没有中间分值。</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Cs w:val="21"/>
              </w:rPr>
            </w:pPr>
          </w:p>
        </w:tc>
      </w:tr>
      <w:tr>
        <w:tblPrEx>
          <w:tblCellMar>
            <w:top w:w="0" w:type="dxa"/>
            <w:left w:w="0" w:type="dxa"/>
            <w:bottom w:w="0" w:type="dxa"/>
            <w:right w:w="0" w:type="dxa"/>
          </w:tblCellMar>
        </w:tblPrEx>
        <w:trPr>
          <w:trHeight w:val="576" w:hRule="atLeast"/>
          <w:jc w:val="center"/>
        </w:trPr>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b/>
                <w:bCs/>
                <w:color w:val="000000"/>
                <w:szCs w:val="21"/>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b/>
                <w:bCs/>
                <w:color w:val="000000"/>
                <w:szCs w:val="21"/>
              </w:rPr>
            </w:pPr>
          </w:p>
        </w:tc>
        <w:tc>
          <w:tcPr>
            <w:tcW w:w="7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2.6基地（营地）内应明确标识“安全疏导路线”。“安全疏导路线图”应提前发放给研学旅行相关人员。</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明确标识并发放2分；明确标识未发放1分。</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Cs w:val="21"/>
              </w:rPr>
            </w:pPr>
          </w:p>
        </w:tc>
      </w:tr>
      <w:tr>
        <w:tblPrEx>
          <w:tblCellMar>
            <w:top w:w="0" w:type="dxa"/>
            <w:left w:w="0" w:type="dxa"/>
            <w:bottom w:w="0" w:type="dxa"/>
            <w:right w:w="0" w:type="dxa"/>
          </w:tblCellMar>
        </w:tblPrEx>
        <w:trPr>
          <w:trHeight w:val="576" w:hRule="atLeast"/>
          <w:jc w:val="center"/>
        </w:trPr>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b/>
                <w:bCs/>
                <w:color w:val="000000"/>
                <w:szCs w:val="21"/>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b/>
                <w:bCs/>
                <w:color w:val="000000"/>
                <w:szCs w:val="21"/>
              </w:rPr>
            </w:pPr>
          </w:p>
        </w:tc>
        <w:tc>
          <w:tcPr>
            <w:tcW w:w="7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2.7基地（营地）应设立医务室，并配备专职医务人员，或能在半小时车程内到达二甲以上医院。</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仿宋" w:hAnsi="仿宋" w:eastAsia="仿宋" w:cs="仿宋"/>
                <w:color w:val="000000"/>
                <w:kern w:val="0"/>
                <w:szCs w:val="21"/>
              </w:rPr>
              <w:t>★</w:t>
            </w:r>
            <w:r>
              <w:rPr>
                <w:rFonts w:hint="eastAsia" w:ascii="宋体" w:hAnsi="宋体" w:eastAsia="宋体" w:cs="宋体"/>
                <w:color w:val="000000"/>
                <w:kern w:val="0"/>
                <w:szCs w:val="21"/>
              </w:rPr>
              <w:t>必备项，合则2分，不合则无申报资格。</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Cs w:val="21"/>
              </w:rPr>
            </w:pPr>
          </w:p>
        </w:tc>
      </w:tr>
      <w:tr>
        <w:tblPrEx>
          <w:tblCellMar>
            <w:top w:w="0" w:type="dxa"/>
            <w:left w:w="0" w:type="dxa"/>
            <w:bottom w:w="0" w:type="dxa"/>
            <w:right w:w="0" w:type="dxa"/>
          </w:tblCellMar>
        </w:tblPrEx>
        <w:trPr>
          <w:trHeight w:val="624" w:hRule="atLeast"/>
          <w:jc w:val="center"/>
        </w:trPr>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b/>
                <w:bCs/>
                <w:color w:val="000000"/>
                <w:szCs w:val="21"/>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服务中心</w:t>
            </w:r>
          </w:p>
        </w:tc>
        <w:tc>
          <w:tcPr>
            <w:tcW w:w="7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2.8基地（营地）应设置“研学</w:t>
            </w:r>
            <w:r>
              <w:rPr>
                <w:rFonts w:hint="eastAsia" w:ascii="宋体" w:hAnsi="宋体" w:eastAsia="宋体" w:cs="宋体"/>
                <w:color w:val="000000"/>
                <w:kern w:val="0"/>
                <w:szCs w:val="21"/>
                <w:lang w:val="en-US" w:eastAsia="zh-CN"/>
              </w:rPr>
              <w:t>实践</w:t>
            </w:r>
            <w:r>
              <w:rPr>
                <w:rFonts w:hint="eastAsia" w:ascii="宋体" w:hAnsi="宋体" w:eastAsia="宋体" w:cs="宋体"/>
                <w:color w:val="000000"/>
                <w:kern w:val="0"/>
                <w:szCs w:val="21"/>
              </w:rPr>
              <w:t>综合服务中心”，配备专职人员负责相关工作。</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设置并配备专职人员2分；设置但未配备专职人员1分。</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Cs w:val="21"/>
              </w:rPr>
            </w:pPr>
          </w:p>
        </w:tc>
      </w:tr>
      <w:tr>
        <w:tblPrEx>
          <w:tblCellMar>
            <w:top w:w="0" w:type="dxa"/>
            <w:left w:w="0" w:type="dxa"/>
            <w:bottom w:w="0" w:type="dxa"/>
            <w:right w:w="0" w:type="dxa"/>
          </w:tblCellMar>
        </w:tblPrEx>
        <w:trPr>
          <w:trHeight w:val="576" w:hRule="atLeast"/>
          <w:jc w:val="center"/>
        </w:trPr>
        <w:tc>
          <w:tcPr>
            <w:tcW w:w="143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三、组织管理 （8分）</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组织结构</w:t>
            </w:r>
          </w:p>
        </w:tc>
        <w:tc>
          <w:tcPr>
            <w:tcW w:w="7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3.1基地（营地）应设有管理机构或部门，管理人员综合素质高、协调能力强，分工、职责清晰。</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完全符合2分；较符合1分。</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Cs w:val="21"/>
              </w:rPr>
            </w:pPr>
          </w:p>
        </w:tc>
      </w:tr>
      <w:tr>
        <w:tblPrEx>
          <w:tblCellMar>
            <w:top w:w="0" w:type="dxa"/>
            <w:left w:w="0" w:type="dxa"/>
            <w:bottom w:w="0" w:type="dxa"/>
            <w:right w:w="0" w:type="dxa"/>
          </w:tblCellMar>
        </w:tblPrEx>
        <w:trPr>
          <w:trHeight w:val="576" w:hRule="atLeast"/>
          <w:jc w:val="center"/>
        </w:trPr>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b/>
                <w:bCs/>
                <w:color w:val="000000"/>
                <w:szCs w:val="21"/>
              </w:rPr>
            </w:pP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制度建设与专项规划</w:t>
            </w:r>
          </w:p>
        </w:tc>
        <w:tc>
          <w:tcPr>
            <w:tcW w:w="7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3.2基地（营地）应建立涵盖课程、教学、德育、行政、财务、安全、后勤等完整的管理制度体系。</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制度健全3分；较健全2分；一般1分。</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Cs w:val="21"/>
              </w:rPr>
            </w:pPr>
          </w:p>
        </w:tc>
      </w:tr>
      <w:tr>
        <w:tblPrEx>
          <w:tblCellMar>
            <w:top w:w="0" w:type="dxa"/>
            <w:left w:w="0" w:type="dxa"/>
            <w:bottom w:w="0" w:type="dxa"/>
            <w:right w:w="0" w:type="dxa"/>
          </w:tblCellMar>
        </w:tblPrEx>
        <w:trPr>
          <w:trHeight w:val="864" w:hRule="atLeast"/>
          <w:jc w:val="center"/>
        </w:trPr>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b/>
                <w:bCs/>
                <w:color w:val="000000"/>
                <w:szCs w:val="21"/>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b/>
                <w:bCs/>
                <w:color w:val="000000"/>
                <w:szCs w:val="21"/>
              </w:rPr>
            </w:pPr>
          </w:p>
        </w:tc>
        <w:tc>
          <w:tcPr>
            <w:tcW w:w="7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3.3基地（营地）应编有近中期（3至5年）的专项规划，发展规划中应包含“研学</w:t>
            </w:r>
            <w:r>
              <w:rPr>
                <w:rFonts w:hint="eastAsia" w:ascii="宋体" w:hAnsi="宋体" w:eastAsia="宋体" w:cs="宋体"/>
                <w:color w:val="000000"/>
                <w:kern w:val="0"/>
                <w:szCs w:val="21"/>
                <w:lang w:val="en-US" w:eastAsia="zh-CN"/>
              </w:rPr>
              <w:t>实践</w:t>
            </w:r>
            <w:r>
              <w:rPr>
                <w:rFonts w:hint="eastAsia" w:ascii="宋体" w:hAnsi="宋体" w:eastAsia="宋体" w:cs="宋体"/>
                <w:color w:val="000000"/>
                <w:kern w:val="0"/>
                <w:szCs w:val="21"/>
              </w:rPr>
              <w:t>专项规划”。把基础设施、教学设施、研学</w:t>
            </w:r>
            <w:r>
              <w:rPr>
                <w:rFonts w:hint="eastAsia" w:ascii="宋体" w:hAnsi="宋体" w:eastAsia="宋体" w:cs="宋体"/>
                <w:color w:val="000000"/>
                <w:kern w:val="0"/>
                <w:szCs w:val="21"/>
                <w:lang w:val="en-US" w:eastAsia="zh-CN"/>
              </w:rPr>
              <w:t>实践</w:t>
            </w:r>
            <w:r>
              <w:rPr>
                <w:rFonts w:hint="eastAsia" w:ascii="宋体" w:hAnsi="宋体" w:eastAsia="宋体" w:cs="宋体"/>
                <w:color w:val="000000"/>
                <w:kern w:val="0"/>
                <w:szCs w:val="21"/>
              </w:rPr>
              <w:t>导师培养、研学</w:t>
            </w:r>
            <w:r>
              <w:rPr>
                <w:rFonts w:hint="eastAsia" w:ascii="宋体" w:hAnsi="宋体" w:eastAsia="宋体" w:cs="宋体"/>
                <w:color w:val="000000"/>
                <w:kern w:val="0"/>
                <w:szCs w:val="21"/>
                <w:lang w:val="en-US" w:eastAsia="zh-CN"/>
              </w:rPr>
              <w:t>实践</w:t>
            </w:r>
            <w:r>
              <w:rPr>
                <w:rFonts w:hint="eastAsia" w:ascii="宋体" w:hAnsi="宋体" w:eastAsia="宋体" w:cs="宋体"/>
                <w:color w:val="000000"/>
                <w:kern w:val="0"/>
                <w:szCs w:val="21"/>
              </w:rPr>
              <w:t>课程建设、安全保障等作为必要内容。</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规划内容详细全面3分；较好2分；一般1分。</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Cs w:val="21"/>
              </w:rPr>
            </w:pPr>
          </w:p>
        </w:tc>
      </w:tr>
      <w:tr>
        <w:tblPrEx>
          <w:tblCellMar>
            <w:top w:w="0" w:type="dxa"/>
            <w:left w:w="0" w:type="dxa"/>
            <w:bottom w:w="0" w:type="dxa"/>
            <w:right w:w="0" w:type="dxa"/>
          </w:tblCellMar>
        </w:tblPrEx>
        <w:trPr>
          <w:trHeight w:val="1152" w:hRule="atLeast"/>
          <w:jc w:val="center"/>
        </w:trPr>
        <w:tc>
          <w:tcPr>
            <w:tcW w:w="143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四、人员配备（10分）</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专业团队</w:t>
            </w:r>
          </w:p>
        </w:tc>
        <w:tc>
          <w:tcPr>
            <w:tcW w:w="7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4.1基地（营地）内应按不低于1:25的师生比配备师资，师资应持有政府部门或广东省省级研学旅行行业组织颁发的“研学旅行导师资格证”或“中小学教师资格证”；</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应按不低于1:100的师生比配备安全员。</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教职人员配齐配强，结构合理5分；较好3分；一般1分。</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Cs w:val="21"/>
              </w:rPr>
            </w:pPr>
          </w:p>
        </w:tc>
      </w:tr>
      <w:tr>
        <w:tblPrEx>
          <w:tblCellMar>
            <w:top w:w="0" w:type="dxa"/>
            <w:left w:w="0" w:type="dxa"/>
            <w:bottom w:w="0" w:type="dxa"/>
            <w:right w:w="0" w:type="dxa"/>
          </w:tblCellMar>
        </w:tblPrEx>
        <w:trPr>
          <w:trHeight w:val="864" w:hRule="atLeast"/>
          <w:jc w:val="center"/>
        </w:trPr>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b/>
                <w:bCs/>
                <w:color w:val="000000"/>
                <w:szCs w:val="21"/>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b/>
                <w:bCs/>
                <w:color w:val="000000"/>
                <w:szCs w:val="21"/>
              </w:rPr>
            </w:pPr>
          </w:p>
        </w:tc>
        <w:tc>
          <w:tcPr>
            <w:tcW w:w="7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4.2基地（营地）应定期组织开展研学旅行导师、教职人员的培训，注重工作人员业务素养和能力提升。人员研修过程须提供相关佐证材料。</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4</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每年开展培训40课时及以上4分；30-39课时2分；20-29课时1分。（20课时以下0分）。</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Cs w:val="21"/>
              </w:rPr>
            </w:pPr>
          </w:p>
        </w:tc>
      </w:tr>
      <w:tr>
        <w:tblPrEx>
          <w:tblCellMar>
            <w:top w:w="0" w:type="dxa"/>
            <w:left w:w="0" w:type="dxa"/>
            <w:bottom w:w="0" w:type="dxa"/>
            <w:right w:w="0" w:type="dxa"/>
          </w:tblCellMar>
        </w:tblPrEx>
        <w:trPr>
          <w:trHeight w:val="864" w:hRule="atLeast"/>
          <w:jc w:val="center"/>
        </w:trPr>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b/>
                <w:bCs/>
                <w:color w:val="000000"/>
                <w:szCs w:val="21"/>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合作机制</w:t>
            </w:r>
          </w:p>
        </w:tc>
        <w:tc>
          <w:tcPr>
            <w:tcW w:w="7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4.3基地（营地）应与所在区域的群团组织合作，吸纳在校大学生、退休教师、干部、社会能工巧匠或家长等参与研学旅行实践教育志愿服务活动。</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合则1分，不合0分，没有中间分值。</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Cs w:val="21"/>
              </w:rPr>
            </w:pPr>
          </w:p>
        </w:tc>
      </w:tr>
      <w:tr>
        <w:tblPrEx>
          <w:tblCellMar>
            <w:top w:w="0" w:type="dxa"/>
            <w:left w:w="0" w:type="dxa"/>
            <w:bottom w:w="0" w:type="dxa"/>
            <w:right w:w="0" w:type="dxa"/>
          </w:tblCellMar>
        </w:tblPrEx>
        <w:trPr>
          <w:trHeight w:val="576" w:hRule="atLeast"/>
          <w:jc w:val="center"/>
        </w:trPr>
        <w:tc>
          <w:tcPr>
            <w:tcW w:w="143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五、环境条件 （3分）</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育人环境</w:t>
            </w:r>
          </w:p>
        </w:tc>
        <w:tc>
          <w:tcPr>
            <w:tcW w:w="7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5.1基地（营地）内外环境和谐、自然，细节设计以人为本,建筑造型景观化。</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合则1分，不合0分，没有中间分值。</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Cs w:val="21"/>
              </w:rPr>
            </w:pPr>
          </w:p>
        </w:tc>
      </w:tr>
      <w:tr>
        <w:tblPrEx>
          <w:tblCellMar>
            <w:top w:w="0" w:type="dxa"/>
            <w:left w:w="0" w:type="dxa"/>
            <w:bottom w:w="0" w:type="dxa"/>
            <w:right w:w="0" w:type="dxa"/>
          </w:tblCellMar>
        </w:tblPrEx>
        <w:trPr>
          <w:trHeight w:val="312" w:hRule="atLeast"/>
          <w:jc w:val="center"/>
        </w:trPr>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b/>
                <w:bCs/>
                <w:color w:val="000000"/>
                <w:szCs w:val="21"/>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b/>
                <w:bCs/>
                <w:color w:val="000000"/>
                <w:szCs w:val="21"/>
              </w:rPr>
            </w:pPr>
          </w:p>
        </w:tc>
        <w:tc>
          <w:tcPr>
            <w:tcW w:w="7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5.2基地（营地）环境良好，育人氛围浓。</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合则1分，不合0分，没有中间分值。</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Cs w:val="21"/>
              </w:rPr>
            </w:pPr>
          </w:p>
        </w:tc>
      </w:tr>
      <w:tr>
        <w:tblPrEx>
          <w:tblCellMar>
            <w:top w:w="0" w:type="dxa"/>
            <w:left w:w="0" w:type="dxa"/>
            <w:bottom w:w="0" w:type="dxa"/>
            <w:right w:w="0" w:type="dxa"/>
          </w:tblCellMar>
        </w:tblPrEx>
        <w:trPr>
          <w:trHeight w:val="312" w:hRule="atLeast"/>
          <w:jc w:val="center"/>
        </w:trPr>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b/>
                <w:bCs/>
                <w:color w:val="000000"/>
                <w:szCs w:val="21"/>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特色环境</w:t>
            </w:r>
          </w:p>
        </w:tc>
        <w:tc>
          <w:tcPr>
            <w:tcW w:w="7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5.3基地（营地）宜秉持一基地（营地）一特色，突出文化建设。</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合则1分，不合0分，没有中间分值。</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Cs w:val="21"/>
              </w:rPr>
            </w:pPr>
          </w:p>
        </w:tc>
      </w:tr>
      <w:tr>
        <w:tblPrEx>
          <w:tblCellMar>
            <w:top w:w="0" w:type="dxa"/>
            <w:left w:w="0" w:type="dxa"/>
            <w:bottom w:w="0" w:type="dxa"/>
            <w:right w:w="0" w:type="dxa"/>
          </w:tblCellMar>
        </w:tblPrEx>
        <w:trPr>
          <w:trHeight w:val="864" w:hRule="atLeast"/>
          <w:jc w:val="center"/>
        </w:trPr>
        <w:tc>
          <w:tcPr>
            <w:tcW w:w="143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六、卫生条件 （2分）</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卫生整洁</w:t>
            </w:r>
          </w:p>
        </w:tc>
        <w:tc>
          <w:tcPr>
            <w:tcW w:w="7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6.1基地（营地）各类场所应环境整洁,无污水、污物，无乱建、乱堆、乱放现象，建筑物及各种设施设备无剥落、无污垢，空气清新、无异味。各类场所符合国家相关标准规定。</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合则1分，不合0分，没有中间分值。</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Cs w:val="21"/>
              </w:rPr>
            </w:pPr>
          </w:p>
        </w:tc>
      </w:tr>
      <w:tr>
        <w:tblPrEx>
          <w:tblCellMar>
            <w:top w:w="0" w:type="dxa"/>
            <w:left w:w="0" w:type="dxa"/>
            <w:bottom w:w="0" w:type="dxa"/>
            <w:right w:w="0" w:type="dxa"/>
          </w:tblCellMar>
        </w:tblPrEx>
        <w:trPr>
          <w:trHeight w:val="576" w:hRule="atLeast"/>
          <w:jc w:val="center"/>
        </w:trPr>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b/>
                <w:bCs/>
                <w:color w:val="000000"/>
                <w:szCs w:val="21"/>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b/>
                <w:bCs/>
                <w:color w:val="000000"/>
                <w:szCs w:val="21"/>
              </w:rPr>
            </w:pPr>
          </w:p>
        </w:tc>
        <w:tc>
          <w:tcPr>
            <w:tcW w:w="7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6.2营地住宿场所应以安全、卫生和适合为基本要求，便于集中管理，承运汽车安全进出，停靠，有安全逃生通道。</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0.5</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合则0.5分，不合0分，没有中间分值。</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Cs w:val="21"/>
              </w:rPr>
            </w:pPr>
          </w:p>
        </w:tc>
      </w:tr>
      <w:tr>
        <w:tblPrEx>
          <w:tblCellMar>
            <w:top w:w="0" w:type="dxa"/>
            <w:left w:w="0" w:type="dxa"/>
            <w:bottom w:w="0" w:type="dxa"/>
            <w:right w:w="0" w:type="dxa"/>
          </w:tblCellMar>
        </w:tblPrEx>
        <w:trPr>
          <w:trHeight w:val="576" w:hRule="atLeast"/>
          <w:jc w:val="center"/>
        </w:trPr>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b/>
                <w:bCs/>
                <w:color w:val="000000"/>
                <w:szCs w:val="21"/>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b/>
                <w:bCs/>
                <w:color w:val="000000"/>
                <w:szCs w:val="21"/>
              </w:rPr>
            </w:pPr>
          </w:p>
        </w:tc>
        <w:tc>
          <w:tcPr>
            <w:tcW w:w="7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6.3基地（营地）的厕所布局合理，内部卫生整洁，数量能够满足需要，标识醒目美观，符合中小学生认知水平。</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0.5</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合则0.5分，不合0分，没有中间分值。</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Cs w:val="21"/>
              </w:rPr>
            </w:pPr>
          </w:p>
        </w:tc>
      </w:tr>
      <w:tr>
        <w:tblPrEx>
          <w:tblCellMar>
            <w:top w:w="0" w:type="dxa"/>
            <w:left w:w="0" w:type="dxa"/>
            <w:bottom w:w="0" w:type="dxa"/>
            <w:right w:w="0" w:type="dxa"/>
          </w:tblCellMar>
        </w:tblPrEx>
        <w:trPr>
          <w:trHeight w:val="624" w:hRule="atLeast"/>
          <w:jc w:val="center"/>
        </w:trPr>
        <w:tc>
          <w:tcPr>
            <w:tcW w:w="143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七、研学</w:t>
            </w:r>
            <w:r>
              <w:rPr>
                <w:rFonts w:hint="eastAsia" w:ascii="宋体" w:hAnsi="宋体" w:eastAsia="宋体" w:cs="宋体"/>
                <w:b/>
                <w:bCs/>
                <w:color w:val="000000"/>
                <w:kern w:val="0"/>
                <w:szCs w:val="21"/>
                <w:lang w:val="en-US" w:eastAsia="zh-CN"/>
              </w:rPr>
              <w:t>实践</w:t>
            </w:r>
            <w:r>
              <w:rPr>
                <w:rFonts w:hint="eastAsia" w:ascii="宋体" w:hAnsi="宋体" w:eastAsia="宋体" w:cs="宋体"/>
                <w:b/>
                <w:bCs/>
                <w:color w:val="000000"/>
                <w:kern w:val="0"/>
                <w:szCs w:val="21"/>
              </w:rPr>
              <w:t>课程（15分）</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目标定位明确</w:t>
            </w:r>
          </w:p>
        </w:tc>
        <w:tc>
          <w:tcPr>
            <w:tcW w:w="7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7.1基地（营地）应围绕落实“立德树人”的根本任务开发课程及相关课程体系。</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小学、初中、高中课程体系完善5分；有待完善3分；一般1分。</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Cs w:val="21"/>
              </w:rPr>
            </w:pPr>
          </w:p>
        </w:tc>
      </w:tr>
      <w:tr>
        <w:tblPrEx>
          <w:tblCellMar>
            <w:top w:w="0" w:type="dxa"/>
            <w:left w:w="0" w:type="dxa"/>
            <w:bottom w:w="0" w:type="dxa"/>
            <w:right w:w="0" w:type="dxa"/>
          </w:tblCellMar>
        </w:tblPrEx>
        <w:trPr>
          <w:trHeight w:val="624" w:hRule="atLeast"/>
          <w:jc w:val="center"/>
        </w:trPr>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b/>
                <w:bCs/>
                <w:color w:val="000000"/>
                <w:szCs w:val="21"/>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主题特色鲜明</w:t>
            </w:r>
          </w:p>
        </w:tc>
        <w:tc>
          <w:tcPr>
            <w:tcW w:w="7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7.2基地（营地）对课程主题的设计应结合域情、校情、生情进行开发。</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合则2分，不合0分，没有中间分值。</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Cs w:val="21"/>
              </w:rPr>
            </w:pPr>
          </w:p>
        </w:tc>
      </w:tr>
      <w:tr>
        <w:tblPrEx>
          <w:tblCellMar>
            <w:top w:w="0" w:type="dxa"/>
            <w:left w:w="0" w:type="dxa"/>
            <w:bottom w:w="0" w:type="dxa"/>
            <w:right w:w="0" w:type="dxa"/>
          </w:tblCellMar>
        </w:tblPrEx>
        <w:trPr>
          <w:trHeight w:val="2538" w:hRule="atLeast"/>
          <w:jc w:val="center"/>
        </w:trPr>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b/>
                <w:bCs/>
                <w:color w:val="000000"/>
                <w:szCs w:val="21"/>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课程设计科学</w:t>
            </w:r>
          </w:p>
        </w:tc>
        <w:tc>
          <w:tcPr>
            <w:tcW w:w="7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7.3基地（营地）研学</w:t>
            </w:r>
            <w:r>
              <w:rPr>
                <w:rFonts w:hint="eastAsia" w:ascii="宋体" w:hAnsi="宋体" w:eastAsia="宋体" w:cs="宋体"/>
                <w:color w:val="000000"/>
                <w:kern w:val="0"/>
                <w:szCs w:val="21"/>
                <w:lang w:val="en-US" w:eastAsia="zh-CN"/>
              </w:rPr>
              <w:t>实践</w:t>
            </w:r>
            <w:r>
              <w:rPr>
                <w:rFonts w:hint="eastAsia" w:ascii="宋体" w:hAnsi="宋体" w:eastAsia="宋体" w:cs="宋体"/>
                <w:color w:val="000000"/>
                <w:kern w:val="0"/>
                <w:szCs w:val="21"/>
              </w:rPr>
              <w:t>课程设计应满足以下要求：</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a)针对不同学段应设计不同的课程，课程主题、内容和方式应符合学生认知水平。</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b)小学阶段以乡土乡情为主、初中阶段以县情市情为主、高中阶段以省情国情为主。</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c)一般以自然班为单位设计课程，包含课程目标、课程内容、课程方法、课程评价等要素。</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d)课程内容与实施要遵循开放、体验、实践、互动、安全等原则。</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基地（营地）可根据自身资源特点安排研学</w:t>
            </w:r>
            <w:r>
              <w:rPr>
                <w:rFonts w:hint="eastAsia" w:ascii="宋体" w:hAnsi="宋体" w:eastAsia="宋体" w:cs="宋体"/>
                <w:color w:val="000000"/>
                <w:kern w:val="0"/>
                <w:szCs w:val="21"/>
                <w:lang w:val="en-US" w:eastAsia="zh-CN"/>
              </w:rPr>
              <w:t>实践</w:t>
            </w:r>
            <w:r>
              <w:rPr>
                <w:rFonts w:hint="eastAsia" w:ascii="宋体" w:hAnsi="宋体" w:eastAsia="宋体" w:cs="宋体"/>
                <w:color w:val="000000"/>
                <w:kern w:val="0"/>
                <w:szCs w:val="21"/>
              </w:rPr>
              <w:t>课程的主题，也可研发与周边资源相结合的组合课程。</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完全符合5分；比较符合3分；一般符合1分。</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Cs w:val="21"/>
              </w:rPr>
            </w:pPr>
          </w:p>
        </w:tc>
      </w:tr>
      <w:tr>
        <w:tblPrEx>
          <w:tblCellMar>
            <w:top w:w="0" w:type="dxa"/>
            <w:left w:w="0" w:type="dxa"/>
            <w:bottom w:w="0" w:type="dxa"/>
            <w:right w:w="0" w:type="dxa"/>
          </w:tblCellMar>
        </w:tblPrEx>
        <w:trPr>
          <w:trHeight w:val="936" w:hRule="atLeast"/>
          <w:jc w:val="center"/>
        </w:trPr>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b/>
                <w:bCs/>
                <w:color w:val="000000"/>
                <w:szCs w:val="21"/>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课程门类丰富</w:t>
            </w:r>
          </w:p>
        </w:tc>
        <w:tc>
          <w:tcPr>
            <w:tcW w:w="7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7.4基地（营地）应具备至少1个主题的系列课程，课程能够覆盖各学段、各年级（小学4-6年级、初中1-2年级、高中1-2年级）教学目标的要求，实际开设的各种课程不少于6门。</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课程量足，设计完整3分；有待完善1分。</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Cs w:val="21"/>
              </w:rPr>
            </w:pPr>
          </w:p>
        </w:tc>
      </w:tr>
      <w:tr>
        <w:tblPrEx>
          <w:tblCellMar>
            <w:top w:w="0" w:type="dxa"/>
            <w:left w:w="0" w:type="dxa"/>
            <w:bottom w:w="0" w:type="dxa"/>
            <w:right w:w="0" w:type="dxa"/>
          </w:tblCellMar>
        </w:tblPrEx>
        <w:trPr>
          <w:trHeight w:val="312" w:hRule="atLeast"/>
          <w:jc w:val="center"/>
        </w:trPr>
        <w:tc>
          <w:tcPr>
            <w:tcW w:w="143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八、服务规范（12分）</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接待服务</w:t>
            </w:r>
          </w:p>
        </w:tc>
        <w:tc>
          <w:tcPr>
            <w:tcW w:w="7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8.1基地（营地）应设立与接待人数规模相适应的停车场。</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0.5</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合则0.5分，不合0分，没有中间分值。</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Cs w:val="21"/>
              </w:rPr>
            </w:pPr>
          </w:p>
        </w:tc>
      </w:tr>
      <w:tr>
        <w:tblPrEx>
          <w:tblCellMar>
            <w:top w:w="0" w:type="dxa"/>
            <w:left w:w="0" w:type="dxa"/>
            <w:bottom w:w="0" w:type="dxa"/>
            <w:right w:w="0" w:type="dxa"/>
          </w:tblCellMar>
        </w:tblPrEx>
        <w:trPr>
          <w:trHeight w:val="312" w:hRule="atLeast"/>
          <w:jc w:val="center"/>
        </w:trPr>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b/>
                <w:bCs/>
                <w:color w:val="000000"/>
                <w:szCs w:val="21"/>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b/>
                <w:bCs/>
                <w:color w:val="000000"/>
                <w:szCs w:val="21"/>
              </w:rPr>
            </w:pPr>
          </w:p>
        </w:tc>
        <w:tc>
          <w:tcPr>
            <w:tcW w:w="7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8.2基地（营地）应配备专业的研学旅行工作接待人员。</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0.5</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合则0.5分，不合0分，没有中间分值。</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Cs w:val="21"/>
              </w:rPr>
            </w:pPr>
          </w:p>
        </w:tc>
      </w:tr>
      <w:tr>
        <w:tblPrEx>
          <w:tblCellMar>
            <w:top w:w="0" w:type="dxa"/>
            <w:left w:w="0" w:type="dxa"/>
            <w:bottom w:w="0" w:type="dxa"/>
            <w:right w:w="0" w:type="dxa"/>
          </w:tblCellMar>
        </w:tblPrEx>
        <w:trPr>
          <w:trHeight w:val="1152" w:hRule="atLeast"/>
          <w:jc w:val="center"/>
        </w:trPr>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b/>
                <w:bCs/>
                <w:color w:val="000000"/>
                <w:szCs w:val="21"/>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b/>
                <w:bCs/>
                <w:color w:val="000000"/>
                <w:szCs w:val="21"/>
              </w:rPr>
            </w:pPr>
          </w:p>
        </w:tc>
        <w:tc>
          <w:tcPr>
            <w:tcW w:w="7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8.3基地（营地）的讲解服务应由研学旅行导师或专业讲解员提供，将安全知识、文明礼仪作为讲解服务的重要内容，结合教育服务要求，提供有正对性、互动性、趣味性、启发性和引导性的讲解服务。</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合则1分，不合0分，没有中间分值。</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Cs w:val="21"/>
              </w:rPr>
            </w:pPr>
          </w:p>
        </w:tc>
      </w:tr>
      <w:tr>
        <w:tblPrEx>
          <w:tblCellMar>
            <w:top w:w="0" w:type="dxa"/>
            <w:left w:w="0" w:type="dxa"/>
            <w:bottom w:w="0" w:type="dxa"/>
            <w:right w:w="0" w:type="dxa"/>
          </w:tblCellMar>
        </w:tblPrEx>
        <w:trPr>
          <w:trHeight w:val="576" w:hRule="atLeast"/>
          <w:jc w:val="center"/>
        </w:trPr>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b/>
                <w:bCs/>
                <w:color w:val="000000"/>
                <w:szCs w:val="21"/>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b/>
                <w:bCs/>
                <w:color w:val="000000"/>
                <w:szCs w:val="21"/>
              </w:rPr>
            </w:pPr>
          </w:p>
        </w:tc>
        <w:tc>
          <w:tcPr>
            <w:tcW w:w="7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8.4基地（营地）的讲解内容应满足学生的需求，符合学生的接受水平和认知规律。</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合则1分，不合0分，没有中间分值。</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Cs w:val="21"/>
              </w:rPr>
            </w:pPr>
          </w:p>
        </w:tc>
      </w:tr>
      <w:tr>
        <w:tblPrEx>
          <w:tblCellMar>
            <w:top w:w="0" w:type="dxa"/>
            <w:left w:w="0" w:type="dxa"/>
            <w:bottom w:w="0" w:type="dxa"/>
            <w:right w:w="0" w:type="dxa"/>
          </w:tblCellMar>
        </w:tblPrEx>
        <w:trPr>
          <w:trHeight w:val="576" w:hRule="atLeast"/>
          <w:jc w:val="center"/>
        </w:trPr>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b/>
                <w:bCs/>
                <w:color w:val="000000"/>
                <w:szCs w:val="21"/>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b/>
                <w:bCs/>
                <w:color w:val="000000"/>
                <w:szCs w:val="21"/>
              </w:rPr>
            </w:pPr>
          </w:p>
        </w:tc>
        <w:tc>
          <w:tcPr>
            <w:tcW w:w="7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8.5基地（营地）宜对中小学生实施门票减免政策，对家庭经济困难的学生实施费用减免措施。</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0.5</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合则0.5分，不合0分，没有中间分值。</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Cs w:val="21"/>
              </w:rPr>
            </w:pPr>
          </w:p>
        </w:tc>
      </w:tr>
      <w:tr>
        <w:tblPrEx>
          <w:tblCellMar>
            <w:top w:w="0" w:type="dxa"/>
            <w:left w:w="0" w:type="dxa"/>
            <w:bottom w:w="0" w:type="dxa"/>
            <w:right w:w="0" w:type="dxa"/>
          </w:tblCellMar>
        </w:tblPrEx>
        <w:trPr>
          <w:trHeight w:val="312" w:hRule="atLeast"/>
          <w:jc w:val="center"/>
        </w:trPr>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b/>
                <w:bCs/>
                <w:color w:val="000000"/>
                <w:szCs w:val="21"/>
              </w:rPr>
            </w:pP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交通服务</w:t>
            </w:r>
          </w:p>
        </w:tc>
        <w:tc>
          <w:tcPr>
            <w:tcW w:w="7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8.6基地（营地）内路面设计合理规范。</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0.5</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合则0.5分，不合0分，没有中间分值。</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Cs w:val="21"/>
              </w:rPr>
            </w:pPr>
          </w:p>
        </w:tc>
      </w:tr>
      <w:tr>
        <w:tblPrEx>
          <w:tblCellMar>
            <w:top w:w="0" w:type="dxa"/>
            <w:left w:w="0" w:type="dxa"/>
            <w:bottom w:w="0" w:type="dxa"/>
            <w:right w:w="0" w:type="dxa"/>
          </w:tblCellMar>
        </w:tblPrEx>
        <w:trPr>
          <w:trHeight w:val="576" w:hRule="atLeast"/>
          <w:jc w:val="center"/>
        </w:trPr>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b/>
                <w:bCs/>
                <w:color w:val="000000"/>
                <w:szCs w:val="21"/>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b/>
                <w:bCs/>
                <w:color w:val="000000"/>
                <w:szCs w:val="21"/>
              </w:rPr>
            </w:pPr>
          </w:p>
        </w:tc>
        <w:tc>
          <w:tcPr>
            <w:tcW w:w="7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8.7基地（营地）内参观路线应合理、顺畅，与研学</w:t>
            </w:r>
            <w:r>
              <w:rPr>
                <w:rFonts w:hint="eastAsia" w:ascii="宋体" w:hAnsi="宋体" w:eastAsia="宋体" w:cs="宋体"/>
                <w:color w:val="000000"/>
                <w:kern w:val="0"/>
                <w:szCs w:val="21"/>
                <w:lang w:val="en-US" w:eastAsia="zh-CN"/>
              </w:rPr>
              <w:t>实践</w:t>
            </w:r>
            <w:r>
              <w:rPr>
                <w:rFonts w:hint="eastAsia" w:ascii="宋体" w:hAnsi="宋体" w:eastAsia="宋体" w:cs="宋体"/>
                <w:color w:val="000000"/>
                <w:kern w:val="0"/>
                <w:szCs w:val="21"/>
              </w:rPr>
              <w:t>课程内容的关联度高。</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0.5</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合则0.5分，不合0分，没有中间分值。</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Cs w:val="21"/>
              </w:rPr>
            </w:pPr>
          </w:p>
        </w:tc>
      </w:tr>
      <w:tr>
        <w:tblPrEx>
          <w:tblCellMar>
            <w:top w:w="0" w:type="dxa"/>
            <w:left w:w="0" w:type="dxa"/>
            <w:bottom w:w="0" w:type="dxa"/>
            <w:right w:w="0" w:type="dxa"/>
          </w:tblCellMar>
        </w:tblPrEx>
        <w:trPr>
          <w:trHeight w:val="312" w:hRule="atLeast"/>
          <w:jc w:val="center"/>
        </w:trPr>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b/>
                <w:bCs/>
                <w:color w:val="000000"/>
                <w:szCs w:val="21"/>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b/>
                <w:bCs/>
                <w:color w:val="000000"/>
                <w:szCs w:val="21"/>
              </w:rPr>
            </w:pPr>
          </w:p>
        </w:tc>
        <w:tc>
          <w:tcPr>
            <w:tcW w:w="7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8.8基地（营地）内应使用清洁能源的交通工具。</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0.5</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合则0.5分，不合0分，没有中间分值。</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Cs w:val="21"/>
              </w:rPr>
            </w:pPr>
          </w:p>
        </w:tc>
      </w:tr>
      <w:tr>
        <w:tblPrEx>
          <w:tblCellMar>
            <w:top w:w="0" w:type="dxa"/>
            <w:left w:w="0" w:type="dxa"/>
            <w:bottom w:w="0" w:type="dxa"/>
            <w:right w:w="0" w:type="dxa"/>
          </w:tblCellMar>
        </w:tblPrEx>
        <w:trPr>
          <w:trHeight w:val="624" w:hRule="atLeast"/>
          <w:jc w:val="center"/>
        </w:trPr>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b/>
                <w:bCs/>
                <w:color w:val="000000"/>
                <w:szCs w:val="21"/>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教育服务</w:t>
            </w:r>
          </w:p>
        </w:tc>
        <w:tc>
          <w:tcPr>
            <w:tcW w:w="7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8.9基地（营地）提供的教育服务应符合教育部关于印发《中小学综合实践活动课程指导纲要》通知的相关要求。</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0.5</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合则0.5分，不合0分，没有中间分值。</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Cs w:val="21"/>
              </w:rPr>
            </w:pPr>
          </w:p>
        </w:tc>
      </w:tr>
      <w:tr>
        <w:tblPrEx>
          <w:tblCellMar>
            <w:top w:w="0" w:type="dxa"/>
            <w:left w:w="0" w:type="dxa"/>
            <w:bottom w:w="0" w:type="dxa"/>
            <w:right w:w="0" w:type="dxa"/>
          </w:tblCellMar>
        </w:tblPrEx>
        <w:trPr>
          <w:trHeight w:val="936" w:hRule="atLeast"/>
          <w:jc w:val="center"/>
        </w:trPr>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b/>
                <w:bCs/>
                <w:color w:val="000000"/>
                <w:szCs w:val="21"/>
              </w:rPr>
            </w:pP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餐饮服务</w:t>
            </w:r>
          </w:p>
        </w:tc>
        <w:tc>
          <w:tcPr>
            <w:tcW w:w="7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8.10营地菜品制作应符合卫生要求及规范的操作流程，用餐场所需具有食品经营许可证，餐饮服务人员还需具备健康证。</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0.5</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合则0.5分，不合0分，没有中间分值。</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Cs w:val="21"/>
              </w:rPr>
            </w:pPr>
          </w:p>
        </w:tc>
      </w:tr>
      <w:tr>
        <w:tblPrEx>
          <w:tblCellMar>
            <w:top w:w="0" w:type="dxa"/>
            <w:left w:w="0" w:type="dxa"/>
            <w:bottom w:w="0" w:type="dxa"/>
            <w:right w:w="0" w:type="dxa"/>
          </w:tblCellMar>
        </w:tblPrEx>
        <w:trPr>
          <w:trHeight w:val="312" w:hRule="atLeast"/>
          <w:jc w:val="center"/>
        </w:trPr>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b/>
                <w:bCs/>
                <w:color w:val="000000"/>
                <w:szCs w:val="21"/>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b/>
                <w:bCs/>
                <w:color w:val="000000"/>
                <w:szCs w:val="21"/>
              </w:rPr>
            </w:pPr>
          </w:p>
        </w:tc>
        <w:tc>
          <w:tcPr>
            <w:tcW w:w="7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8.11营地应以食品卫生安全为前提，选择餐饮服务提供方。</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0.5</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合则0.5分，不合0分，没有中间分值。</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Cs w:val="21"/>
              </w:rPr>
            </w:pPr>
          </w:p>
        </w:tc>
      </w:tr>
      <w:tr>
        <w:tblPrEx>
          <w:tblCellMar>
            <w:top w:w="0" w:type="dxa"/>
            <w:left w:w="0" w:type="dxa"/>
            <w:bottom w:w="0" w:type="dxa"/>
            <w:right w:w="0" w:type="dxa"/>
          </w:tblCellMar>
        </w:tblPrEx>
        <w:trPr>
          <w:trHeight w:val="312" w:hRule="atLeast"/>
          <w:jc w:val="center"/>
        </w:trPr>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b/>
                <w:bCs/>
                <w:color w:val="000000"/>
                <w:szCs w:val="21"/>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b/>
                <w:bCs/>
                <w:color w:val="000000"/>
                <w:szCs w:val="21"/>
              </w:rPr>
            </w:pPr>
          </w:p>
        </w:tc>
        <w:tc>
          <w:tcPr>
            <w:tcW w:w="7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8.12营地应提前制定就餐座次表，组织学生有序进餐。</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0.5</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合则0.5分，不合0分，没有中间分值。</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Cs w:val="21"/>
              </w:rPr>
            </w:pPr>
          </w:p>
        </w:tc>
      </w:tr>
      <w:tr>
        <w:tblPrEx>
          <w:tblCellMar>
            <w:top w:w="0" w:type="dxa"/>
            <w:left w:w="0" w:type="dxa"/>
            <w:bottom w:w="0" w:type="dxa"/>
            <w:right w:w="0" w:type="dxa"/>
          </w:tblCellMar>
        </w:tblPrEx>
        <w:trPr>
          <w:trHeight w:val="624" w:hRule="atLeast"/>
          <w:jc w:val="center"/>
        </w:trPr>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b/>
                <w:bCs/>
                <w:color w:val="000000"/>
                <w:szCs w:val="21"/>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b/>
                <w:bCs/>
                <w:color w:val="000000"/>
                <w:szCs w:val="21"/>
              </w:rPr>
            </w:pPr>
          </w:p>
        </w:tc>
        <w:tc>
          <w:tcPr>
            <w:tcW w:w="7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8.13营地应督促餐饮服务提供方按照有关规定，做好食品留样工作。</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0.5</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合则0.5分，不合0分，没有中间分值。</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Cs w:val="21"/>
              </w:rPr>
            </w:pPr>
          </w:p>
        </w:tc>
      </w:tr>
      <w:tr>
        <w:tblPrEx>
          <w:tblCellMar>
            <w:top w:w="0" w:type="dxa"/>
            <w:left w:w="0" w:type="dxa"/>
            <w:bottom w:w="0" w:type="dxa"/>
            <w:right w:w="0" w:type="dxa"/>
          </w:tblCellMar>
        </w:tblPrEx>
        <w:trPr>
          <w:trHeight w:val="312" w:hRule="atLeast"/>
          <w:jc w:val="center"/>
        </w:trPr>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b/>
                <w:bCs/>
                <w:color w:val="000000"/>
                <w:szCs w:val="21"/>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b/>
                <w:bCs/>
                <w:color w:val="000000"/>
                <w:szCs w:val="21"/>
              </w:rPr>
            </w:pPr>
          </w:p>
        </w:tc>
        <w:tc>
          <w:tcPr>
            <w:tcW w:w="7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8.14营地应在学生用餐时做好巡查工作，确保餐饮服务质量。</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0.5</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合则0.5分，不合0分，没有中间分值。</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Cs w:val="21"/>
              </w:rPr>
            </w:pPr>
          </w:p>
        </w:tc>
      </w:tr>
      <w:tr>
        <w:tblPrEx>
          <w:tblCellMar>
            <w:top w:w="0" w:type="dxa"/>
            <w:left w:w="0" w:type="dxa"/>
            <w:bottom w:w="0" w:type="dxa"/>
            <w:right w:w="0" w:type="dxa"/>
          </w:tblCellMar>
        </w:tblPrEx>
        <w:trPr>
          <w:trHeight w:val="624" w:hRule="atLeast"/>
          <w:jc w:val="center"/>
        </w:trPr>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b/>
                <w:bCs/>
                <w:color w:val="000000"/>
                <w:szCs w:val="21"/>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b/>
                <w:bCs/>
                <w:color w:val="000000"/>
                <w:szCs w:val="21"/>
              </w:rPr>
            </w:pPr>
          </w:p>
        </w:tc>
        <w:tc>
          <w:tcPr>
            <w:tcW w:w="7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8.15营地应建立健全的餐饮服务、菜品质量、食品卫生、食品安全等制度及餐饮服务人员手册及服务操作规程。</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0.5</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合则0.5分，不合0分，没有中间分值。</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Cs w:val="21"/>
              </w:rPr>
            </w:pPr>
          </w:p>
        </w:tc>
      </w:tr>
      <w:tr>
        <w:tblPrEx>
          <w:tblCellMar>
            <w:top w:w="0" w:type="dxa"/>
            <w:left w:w="0" w:type="dxa"/>
            <w:bottom w:w="0" w:type="dxa"/>
            <w:right w:w="0" w:type="dxa"/>
          </w:tblCellMar>
        </w:tblPrEx>
        <w:trPr>
          <w:trHeight w:val="624" w:hRule="atLeast"/>
          <w:jc w:val="center"/>
        </w:trPr>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b/>
                <w:bCs/>
                <w:color w:val="000000"/>
                <w:szCs w:val="21"/>
              </w:rPr>
            </w:pP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住宿服务</w:t>
            </w:r>
          </w:p>
        </w:tc>
        <w:tc>
          <w:tcPr>
            <w:tcW w:w="7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8.16营地工作人员应提前告知学生入住注意事项，宣讲住宿安全知识，带领学生熟悉逃生通道。</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0.5</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合则0.5分，不合0分，没有中间分值。</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Cs w:val="21"/>
              </w:rPr>
            </w:pPr>
          </w:p>
        </w:tc>
      </w:tr>
      <w:tr>
        <w:tblPrEx>
          <w:tblCellMar>
            <w:top w:w="0" w:type="dxa"/>
            <w:left w:w="0" w:type="dxa"/>
            <w:bottom w:w="0" w:type="dxa"/>
            <w:right w:w="0" w:type="dxa"/>
          </w:tblCellMar>
        </w:tblPrEx>
        <w:trPr>
          <w:trHeight w:val="624" w:hRule="atLeast"/>
          <w:jc w:val="center"/>
        </w:trPr>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b/>
                <w:bCs/>
                <w:color w:val="000000"/>
                <w:szCs w:val="21"/>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b/>
                <w:bCs/>
                <w:color w:val="000000"/>
                <w:szCs w:val="21"/>
              </w:rPr>
            </w:pPr>
          </w:p>
        </w:tc>
        <w:tc>
          <w:tcPr>
            <w:tcW w:w="7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8.17营地在学生入住后应及时进行首次查房，帮助学生熟悉房间设施，解决相关问题。</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0.5</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合则0.5分，不合0分，没有中间分值。</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Cs w:val="21"/>
              </w:rPr>
            </w:pPr>
          </w:p>
        </w:tc>
      </w:tr>
      <w:tr>
        <w:tblPrEx>
          <w:tblCellMar>
            <w:top w:w="0" w:type="dxa"/>
            <w:left w:w="0" w:type="dxa"/>
            <w:bottom w:w="0" w:type="dxa"/>
            <w:right w:w="0" w:type="dxa"/>
          </w:tblCellMar>
        </w:tblPrEx>
        <w:trPr>
          <w:trHeight w:val="624" w:hRule="atLeast"/>
          <w:jc w:val="center"/>
        </w:trPr>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b/>
                <w:bCs/>
                <w:color w:val="000000"/>
                <w:szCs w:val="21"/>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b/>
                <w:bCs/>
                <w:color w:val="000000"/>
                <w:szCs w:val="21"/>
              </w:rPr>
            </w:pPr>
          </w:p>
        </w:tc>
        <w:tc>
          <w:tcPr>
            <w:tcW w:w="7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8.18营地宜安排男、女学生分区（片）住宿，女生片区管理员应为女性。</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0.5</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合则0.5分，不合0分，没有中间分值。</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Cs w:val="21"/>
              </w:rPr>
            </w:pPr>
          </w:p>
        </w:tc>
      </w:tr>
      <w:tr>
        <w:tblPrEx>
          <w:tblCellMar>
            <w:top w:w="0" w:type="dxa"/>
            <w:left w:w="0" w:type="dxa"/>
            <w:bottom w:w="0" w:type="dxa"/>
            <w:right w:w="0" w:type="dxa"/>
          </w:tblCellMar>
        </w:tblPrEx>
        <w:trPr>
          <w:trHeight w:val="312" w:hRule="atLeast"/>
          <w:jc w:val="center"/>
        </w:trPr>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b/>
                <w:bCs/>
                <w:color w:val="000000"/>
                <w:szCs w:val="21"/>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b/>
                <w:bCs/>
                <w:color w:val="000000"/>
                <w:szCs w:val="21"/>
              </w:rPr>
            </w:pPr>
          </w:p>
        </w:tc>
        <w:tc>
          <w:tcPr>
            <w:tcW w:w="7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8.19营地应制定住宿安全管理制度，开展巡查、夜查工作。</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0.5</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合则0.5分，不合0分，没有中间分值。</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Cs w:val="21"/>
              </w:rPr>
            </w:pPr>
          </w:p>
        </w:tc>
      </w:tr>
      <w:tr>
        <w:tblPrEx>
          <w:tblCellMar>
            <w:top w:w="0" w:type="dxa"/>
            <w:left w:w="0" w:type="dxa"/>
            <w:bottom w:w="0" w:type="dxa"/>
            <w:right w:w="0" w:type="dxa"/>
          </w:tblCellMar>
        </w:tblPrEx>
        <w:trPr>
          <w:trHeight w:val="624" w:hRule="atLeast"/>
          <w:jc w:val="center"/>
        </w:trPr>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b/>
                <w:bCs/>
                <w:color w:val="000000"/>
                <w:szCs w:val="21"/>
              </w:rPr>
            </w:pP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医疗及救助服务</w:t>
            </w:r>
          </w:p>
        </w:tc>
        <w:tc>
          <w:tcPr>
            <w:tcW w:w="7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191919"/>
                <w:szCs w:val="21"/>
              </w:rPr>
            </w:pPr>
            <w:r>
              <w:rPr>
                <w:rFonts w:hint="eastAsia" w:ascii="宋体" w:hAnsi="宋体" w:eastAsia="宋体" w:cs="宋体"/>
                <w:color w:val="000000"/>
                <w:kern w:val="0"/>
                <w:szCs w:val="21"/>
              </w:rPr>
              <w:t>8.20</w:t>
            </w:r>
            <w:r>
              <w:rPr>
                <w:rFonts w:hint="eastAsia" w:ascii="宋体" w:hAnsi="宋体" w:eastAsia="宋体" w:cs="宋体"/>
                <w:color w:val="191919"/>
                <w:kern w:val="0"/>
                <w:szCs w:val="21"/>
              </w:rPr>
              <w:t>基地（营地）应提前调研和掌握周边的医疗及救助资源状况。</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0.5</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合则0.5分，不合0分，没有中间分值。</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Cs w:val="21"/>
              </w:rPr>
            </w:pPr>
          </w:p>
        </w:tc>
      </w:tr>
      <w:tr>
        <w:tblPrEx>
          <w:tblCellMar>
            <w:top w:w="0" w:type="dxa"/>
            <w:left w:w="0" w:type="dxa"/>
            <w:bottom w:w="0" w:type="dxa"/>
            <w:right w:w="0" w:type="dxa"/>
          </w:tblCellMar>
        </w:tblPrEx>
        <w:trPr>
          <w:trHeight w:val="936" w:hRule="atLeast"/>
          <w:jc w:val="center"/>
        </w:trPr>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b/>
                <w:bCs/>
                <w:color w:val="000000"/>
                <w:szCs w:val="21"/>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b/>
                <w:bCs/>
                <w:color w:val="000000"/>
                <w:szCs w:val="21"/>
              </w:rPr>
            </w:pPr>
          </w:p>
        </w:tc>
        <w:tc>
          <w:tcPr>
            <w:tcW w:w="7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191919"/>
                <w:szCs w:val="21"/>
              </w:rPr>
            </w:pPr>
            <w:r>
              <w:rPr>
                <w:rFonts w:hint="eastAsia" w:ascii="宋体" w:hAnsi="宋体" w:eastAsia="宋体" w:cs="宋体"/>
                <w:color w:val="000000"/>
                <w:kern w:val="0"/>
                <w:szCs w:val="21"/>
              </w:rPr>
              <w:t>8.21</w:t>
            </w:r>
            <w:r>
              <w:rPr>
                <w:rFonts w:hint="eastAsia" w:ascii="宋体" w:hAnsi="宋体" w:eastAsia="宋体" w:cs="宋体"/>
                <w:color w:val="191919"/>
                <w:kern w:val="0"/>
                <w:szCs w:val="21"/>
              </w:rPr>
              <w:t>基地（营地）学生生病或受伤，应及时送往医院或急救中心治疗，妥善保管就诊医疗记录。返程后，应将就诊医疗记录复印并转交家长或带队老师。</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0.5</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合则0.5分，不合0分，没有中间分值。</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Cs w:val="21"/>
              </w:rPr>
            </w:pPr>
          </w:p>
        </w:tc>
      </w:tr>
      <w:tr>
        <w:tblPrEx>
          <w:tblCellMar>
            <w:top w:w="0" w:type="dxa"/>
            <w:left w:w="0" w:type="dxa"/>
            <w:bottom w:w="0" w:type="dxa"/>
            <w:right w:w="0" w:type="dxa"/>
          </w:tblCellMar>
        </w:tblPrEx>
        <w:trPr>
          <w:trHeight w:val="624" w:hRule="atLeast"/>
          <w:jc w:val="center"/>
        </w:trPr>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b/>
                <w:bCs/>
                <w:color w:val="000000"/>
                <w:szCs w:val="21"/>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b/>
                <w:bCs/>
                <w:color w:val="000000"/>
                <w:szCs w:val="21"/>
              </w:rPr>
            </w:pPr>
          </w:p>
        </w:tc>
        <w:tc>
          <w:tcPr>
            <w:tcW w:w="7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191919"/>
                <w:szCs w:val="21"/>
              </w:rPr>
            </w:pPr>
            <w:r>
              <w:rPr>
                <w:rFonts w:hint="eastAsia" w:ascii="宋体" w:hAnsi="宋体" w:eastAsia="宋体" w:cs="宋体"/>
                <w:color w:val="000000"/>
                <w:kern w:val="0"/>
                <w:szCs w:val="21"/>
              </w:rPr>
              <w:t>8.22</w:t>
            </w:r>
            <w:r>
              <w:rPr>
                <w:rFonts w:hint="eastAsia" w:ascii="宋体" w:hAnsi="宋体" w:eastAsia="宋体" w:cs="宋体"/>
                <w:color w:val="191919"/>
                <w:kern w:val="0"/>
                <w:szCs w:val="21"/>
              </w:rPr>
              <w:t>基地（营地）宜聘请具有职业资格的医护人员随团提供医疗及救助服务。</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0.5</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合则0.5分，不合0分，没有中间分值。</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Cs w:val="21"/>
              </w:rPr>
            </w:pPr>
          </w:p>
        </w:tc>
      </w:tr>
      <w:tr>
        <w:tblPrEx>
          <w:tblCellMar>
            <w:top w:w="0" w:type="dxa"/>
            <w:left w:w="0" w:type="dxa"/>
            <w:bottom w:w="0" w:type="dxa"/>
            <w:right w:w="0" w:type="dxa"/>
          </w:tblCellMar>
        </w:tblPrEx>
        <w:trPr>
          <w:trHeight w:val="1560" w:hRule="atLeast"/>
          <w:jc w:val="center"/>
        </w:trPr>
        <w:tc>
          <w:tcPr>
            <w:tcW w:w="143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九、安全与应急管理（16分）</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制度保障</w:t>
            </w:r>
          </w:p>
        </w:tc>
        <w:tc>
          <w:tcPr>
            <w:tcW w:w="7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9.1基地（营地）应针对研学</w:t>
            </w:r>
            <w:r>
              <w:rPr>
                <w:rFonts w:hint="eastAsia" w:ascii="宋体" w:hAnsi="宋体" w:eastAsia="宋体" w:cs="宋体"/>
                <w:color w:val="000000"/>
                <w:kern w:val="0"/>
                <w:szCs w:val="21"/>
                <w:lang w:val="en-US" w:eastAsia="zh-CN"/>
              </w:rPr>
              <w:t>实践</w:t>
            </w:r>
            <w:r>
              <w:rPr>
                <w:rFonts w:hint="eastAsia" w:ascii="宋体" w:hAnsi="宋体" w:eastAsia="宋体" w:cs="宋体"/>
                <w:color w:val="000000"/>
                <w:kern w:val="0"/>
                <w:szCs w:val="21"/>
              </w:rPr>
              <w:t>课程安排制定对应的安全管理制度，构建完善有效的安全应急机制，安全应急管理制度应包括：a) 研学</w:t>
            </w:r>
            <w:r>
              <w:rPr>
                <w:rFonts w:hint="eastAsia" w:ascii="宋体" w:hAnsi="宋体" w:eastAsia="宋体" w:cs="宋体"/>
                <w:color w:val="000000"/>
                <w:kern w:val="0"/>
                <w:szCs w:val="21"/>
                <w:lang w:val="en-US" w:eastAsia="zh-CN"/>
              </w:rPr>
              <w:t>实践</w:t>
            </w:r>
            <w:r>
              <w:rPr>
                <w:rFonts w:hint="eastAsia" w:ascii="宋体" w:hAnsi="宋体" w:eastAsia="宋体" w:cs="宋体"/>
                <w:color w:val="000000"/>
                <w:kern w:val="0"/>
                <w:szCs w:val="21"/>
              </w:rPr>
              <w:t>安全管理工作方案；b) 研学</w:t>
            </w:r>
            <w:r>
              <w:rPr>
                <w:rFonts w:hint="eastAsia" w:ascii="宋体" w:hAnsi="宋体" w:eastAsia="宋体" w:cs="宋体"/>
                <w:color w:val="000000"/>
                <w:kern w:val="0"/>
                <w:szCs w:val="21"/>
                <w:lang w:val="en-US" w:eastAsia="zh-CN"/>
              </w:rPr>
              <w:t>实践</w:t>
            </w:r>
            <w:r>
              <w:rPr>
                <w:rFonts w:hint="eastAsia" w:ascii="宋体" w:hAnsi="宋体" w:eastAsia="宋体" w:cs="宋体"/>
                <w:color w:val="000000"/>
                <w:kern w:val="0"/>
                <w:szCs w:val="21"/>
              </w:rPr>
              <w:t>应急预案及操作手册；c) 研学</w:t>
            </w:r>
            <w:r>
              <w:rPr>
                <w:rFonts w:hint="eastAsia" w:ascii="宋体" w:hAnsi="宋体" w:eastAsia="宋体" w:cs="宋体"/>
                <w:color w:val="000000"/>
                <w:kern w:val="0"/>
                <w:szCs w:val="21"/>
                <w:lang w:val="en-US" w:eastAsia="zh-CN"/>
              </w:rPr>
              <w:t>实践</w:t>
            </w:r>
            <w:r>
              <w:rPr>
                <w:rFonts w:hint="eastAsia" w:ascii="宋体" w:hAnsi="宋体" w:eastAsia="宋体" w:cs="宋体"/>
                <w:color w:val="000000"/>
                <w:kern w:val="0"/>
                <w:szCs w:val="21"/>
              </w:rPr>
              <w:t>产品安全评估制度；d) 研学</w:t>
            </w:r>
            <w:r>
              <w:rPr>
                <w:rFonts w:hint="eastAsia" w:ascii="宋体" w:hAnsi="宋体" w:eastAsia="宋体" w:cs="宋体"/>
                <w:color w:val="000000"/>
                <w:kern w:val="0"/>
                <w:szCs w:val="21"/>
                <w:lang w:val="en-US" w:eastAsia="zh-CN"/>
              </w:rPr>
              <w:t>实践</w:t>
            </w:r>
            <w:r>
              <w:rPr>
                <w:rFonts w:hint="eastAsia" w:ascii="宋体" w:hAnsi="宋体" w:eastAsia="宋体" w:cs="宋体"/>
                <w:color w:val="000000"/>
                <w:kern w:val="0"/>
                <w:szCs w:val="21"/>
              </w:rPr>
              <w:t>安全教育培训制度。</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应急机制完整3分；较完整2分；一般1分。</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Cs w:val="21"/>
              </w:rPr>
            </w:pPr>
          </w:p>
        </w:tc>
      </w:tr>
      <w:tr>
        <w:tblPrEx>
          <w:tblCellMar>
            <w:top w:w="0" w:type="dxa"/>
            <w:left w:w="0" w:type="dxa"/>
            <w:bottom w:w="0" w:type="dxa"/>
            <w:right w:w="0" w:type="dxa"/>
          </w:tblCellMar>
        </w:tblPrEx>
        <w:trPr>
          <w:trHeight w:val="936" w:hRule="atLeast"/>
          <w:jc w:val="center"/>
        </w:trPr>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b/>
                <w:bCs/>
                <w:color w:val="000000"/>
                <w:szCs w:val="21"/>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b/>
                <w:bCs/>
                <w:color w:val="000000"/>
                <w:szCs w:val="21"/>
              </w:rPr>
            </w:pPr>
          </w:p>
        </w:tc>
        <w:tc>
          <w:tcPr>
            <w:tcW w:w="7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9.2基地（营地）应建立与旅游、教育、公安、交通、文化、食品药品监管、保监和共青团等部门定期联系沟通的反馈机制。</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合则1分，不合0分，没有中间分值。</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Cs w:val="21"/>
              </w:rPr>
            </w:pPr>
          </w:p>
        </w:tc>
      </w:tr>
      <w:tr>
        <w:tblPrEx>
          <w:tblCellMar>
            <w:top w:w="0" w:type="dxa"/>
            <w:left w:w="0" w:type="dxa"/>
            <w:bottom w:w="0" w:type="dxa"/>
            <w:right w:w="0" w:type="dxa"/>
          </w:tblCellMar>
        </w:tblPrEx>
        <w:trPr>
          <w:trHeight w:val="312" w:hRule="atLeast"/>
          <w:jc w:val="center"/>
        </w:trPr>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b/>
                <w:bCs/>
                <w:color w:val="000000"/>
                <w:szCs w:val="21"/>
              </w:rPr>
            </w:pP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人员保障</w:t>
            </w:r>
          </w:p>
        </w:tc>
        <w:tc>
          <w:tcPr>
            <w:tcW w:w="7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9.3基地（营地）应设置安全保卫机构，配备专门的安全员。</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合则2分，不合0分，没有中间分值。</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Cs w:val="21"/>
              </w:rPr>
            </w:pPr>
          </w:p>
        </w:tc>
      </w:tr>
      <w:tr>
        <w:tblPrEx>
          <w:tblCellMar>
            <w:top w:w="0" w:type="dxa"/>
            <w:left w:w="0" w:type="dxa"/>
            <w:bottom w:w="0" w:type="dxa"/>
            <w:right w:w="0" w:type="dxa"/>
          </w:tblCellMar>
        </w:tblPrEx>
        <w:trPr>
          <w:trHeight w:val="936" w:hRule="atLeast"/>
          <w:jc w:val="center"/>
        </w:trPr>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b/>
                <w:bCs/>
                <w:color w:val="000000"/>
                <w:szCs w:val="21"/>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b/>
                <w:bCs/>
                <w:color w:val="000000"/>
                <w:szCs w:val="21"/>
              </w:rPr>
            </w:pPr>
          </w:p>
        </w:tc>
        <w:tc>
          <w:tcPr>
            <w:tcW w:w="7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9.4基地（营地）应根据各项安全管理制度的要求，明确安全管理责任人及其工作职责，每一区域、每一时间段、每一课程都应明确安排好“第一安全责任人”。</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合则1分，不合0分，没有中间分值。</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Cs w:val="21"/>
              </w:rPr>
            </w:pPr>
          </w:p>
        </w:tc>
      </w:tr>
      <w:tr>
        <w:tblPrEx>
          <w:tblCellMar>
            <w:top w:w="0" w:type="dxa"/>
            <w:left w:w="0" w:type="dxa"/>
            <w:bottom w:w="0" w:type="dxa"/>
            <w:right w:w="0" w:type="dxa"/>
          </w:tblCellMar>
        </w:tblPrEx>
        <w:trPr>
          <w:trHeight w:val="1248" w:hRule="atLeast"/>
          <w:jc w:val="center"/>
        </w:trPr>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b/>
                <w:bCs/>
                <w:color w:val="000000"/>
                <w:szCs w:val="21"/>
              </w:rPr>
            </w:pP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安全教育</w:t>
            </w:r>
          </w:p>
        </w:tc>
        <w:tc>
          <w:tcPr>
            <w:tcW w:w="7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9.5基地（营地）工作人员安全教育：应制定安全教育和安全培训专项工作计划，定期对参与研学</w:t>
            </w:r>
            <w:r>
              <w:rPr>
                <w:rFonts w:hint="eastAsia" w:ascii="宋体" w:hAnsi="宋体" w:eastAsia="宋体" w:cs="宋体"/>
                <w:color w:val="000000"/>
                <w:kern w:val="0"/>
                <w:szCs w:val="21"/>
                <w:lang w:val="en-US" w:eastAsia="zh-CN"/>
              </w:rPr>
              <w:t>实践</w:t>
            </w:r>
            <w:r>
              <w:rPr>
                <w:rFonts w:hint="eastAsia" w:ascii="宋体" w:hAnsi="宋体" w:eastAsia="宋体" w:cs="宋体"/>
                <w:color w:val="000000"/>
                <w:kern w:val="0"/>
                <w:szCs w:val="21"/>
              </w:rPr>
              <w:t>活动的工作人员进行培训。培训内容包括：安全管理工作制度、工作职责与要求、应急处置规范与流程等。</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0.5</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合则0.5分，不合0分，没有中间分值。</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Cs w:val="21"/>
              </w:rPr>
            </w:pPr>
          </w:p>
        </w:tc>
      </w:tr>
      <w:tr>
        <w:tblPrEx>
          <w:tblCellMar>
            <w:top w:w="0" w:type="dxa"/>
            <w:left w:w="0" w:type="dxa"/>
            <w:bottom w:w="0" w:type="dxa"/>
            <w:right w:w="0" w:type="dxa"/>
          </w:tblCellMar>
        </w:tblPrEx>
        <w:trPr>
          <w:trHeight w:val="1622" w:hRule="atLeast"/>
          <w:jc w:val="center"/>
        </w:trPr>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b/>
                <w:bCs/>
                <w:color w:val="000000"/>
                <w:szCs w:val="21"/>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b/>
                <w:bCs/>
                <w:color w:val="000000"/>
                <w:szCs w:val="21"/>
              </w:rPr>
            </w:pPr>
          </w:p>
        </w:tc>
        <w:tc>
          <w:tcPr>
            <w:tcW w:w="7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9.6基地（营地）学生安全教育：a) 应对参加研学</w:t>
            </w:r>
            <w:r>
              <w:rPr>
                <w:rFonts w:hint="eastAsia" w:ascii="宋体" w:hAnsi="宋体" w:eastAsia="宋体" w:cs="宋体"/>
                <w:color w:val="000000"/>
                <w:kern w:val="0"/>
                <w:szCs w:val="21"/>
                <w:lang w:val="en-US" w:eastAsia="zh-CN"/>
              </w:rPr>
              <w:t>实践</w:t>
            </w:r>
            <w:r>
              <w:rPr>
                <w:rFonts w:hint="eastAsia" w:ascii="宋体" w:hAnsi="宋体" w:eastAsia="宋体" w:cs="宋体"/>
                <w:color w:val="000000"/>
                <w:kern w:val="0"/>
                <w:szCs w:val="21"/>
              </w:rPr>
              <w:t>活动的学生进行多种形式的安全教育；b) 应提供安全防控教育知识读本；c) 应召开行前说明会，对学生进行行前安全教育；d) 应在研学</w:t>
            </w:r>
            <w:r>
              <w:rPr>
                <w:rFonts w:hint="eastAsia" w:ascii="宋体" w:hAnsi="宋体" w:eastAsia="宋体" w:cs="宋体"/>
                <w:color w:val="000000"/>
                <w:kern w:val="0"/>
                <w:szCs w:val="21"/>
                <w:lang w:val="en-US" w:eastAsia="zh-CN"/>
              </w:rPr>
              <w:t>实践</w:t>
            </w:r>
            <w:r>
              <w:rPr>
                <w:rFonts w:hint="eastAsia" w:ascii="宋体" w:hAnsi="宋体" w:eastAsia="宋体" w:cs="宋体"/>
                <w:color w:val="000000"/>
                <w:kern w:val="0"/>
                <w:szCs w:val="21"/>
              </w:rPr>
              <w:t>过程中对学生进行安全知识教育，根据行程安排及具体情况及时进行安全提示与警示，强化学生安全防范意识。</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0.5</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合则0.5分，不合0分，没有中间分值。</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Cs w:val="21"/>
              </w:rPr>
            </w:pPr>
          </w:p>
        </w:tc>
      </w:tr>
      <w:tr>
        <w:tblPrEx>
          <w:tblCellMar>
            <w:top w:w="0" w:type="dxa"/>
            <w:left w:w="0" w:type="dxa"/>
            <w:bottom w:w="0" w:type="dxa"/>
            <w:right w:w="0" w:type="dxa"/>
          </w:tblCellMar>
        </w:tblPrEx>
        <w:trPr>
          <w:trHeight w:val="936" w:hRule="atLeast"/>
          <w:jc w:val="center"/>
        </w:trPr>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b/>
                <w:bCs/>
                <w:color w:val="000000"/>
                <w:szCs w:val="21"/>
              </w:rPr>
            </w:pP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风险预测</w:t>
            </w:r>
          </w:p>
        </w:tc>
        <w:tc>
          <w:tcPr>
            <w:tcW w:w="7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9.7基地（营地）应对研学</w:t>
            </w:r>
            <w:r>
              <w:rPr>
                <w:rFonts w:hint="eastAsia" w:ascii="宋体" w:hAnsi="宋体" w:eastAsia="宋体" w:cs="宋体"/>
                <w:color w:val="000000"/>
                <w:kern w:val="0"/>
                <w:szCs w:val="21"/>
                <w:lang w:val="en-US" w:eastAsia="zh-CN"/>
              </w:rPr>
              <w:t>实践</w:t>
            </w:r>
            <w:r>
              <w:rPr>
                <w:rFonts w:hint="eastAsia" w:ascii="宋体" w:hAnsi="宋体" w:eastAsia="宋体" w:cs="宋体"/>
                <w:color w:val="000000"/>
                <w:kern w:val="0"/>
                <w:szCs w:val="21"/>
              </w:rPr>
              <w:t>活动的交通、餐饮、以及应急突发事件处置方案的可操作性等各个环节进行风险预测评估。</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风险预测评估全面2分；有风险预测评估单不全面1分。</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Cs w:val="21"/>
              </w:rPr>
            </w:pPr>
          </w:p>
        </w:tc>
      </w:tr>
      <w:tr>
        <w:tblPrEx>
          <w:tblCellMar>
            <w:top w:w="0" w:type="dxa"/>
            <w:left w:w="0" w:type="dxa"/>
            <w:bottom w:w="0" w:type="dxa"/>
            <w:right w:w="0" w:type="dxa"/>
          </w:tblCellMar>
        </w:tblPrEx>
        <w:trPr>
          <w:trHeight w:val="624" w:hRule="atLeast"/>
          <w:jc w:val="center"/>
        </w:trPr>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b/>
                <w:bCs/>
                <w:color w:val="000000"/>
                <w:szCs w:val="21"/>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b/>
                <w:bCs/>
                <w:color w:val="000000"/>
                <w:szCs w:val="21"/>
              </w:rPr>
            </w:pPr>
          </w:p>
        </w:tc>
        <w:tc>
          <w:tcPr>
            <w:tcW w:w="7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9.8基地（营地）应主动为教师、学生及工作人员购买责任险等相关保险，并提高保额。</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合则1分，不合0分，没有中间分值。</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Cs w:val="21"/>
              </w:rPr>
            </w:pPr>
          </w:p>
        </w:tc>
      </w:tr>
      <w:tr>
        <w:tblPrEx>
          <w:tblCellMar>
            <w:top w:w="0" w:type="dxa"/>
            <w:left w:w="0" w:type="dxa"/>
            <w:bottom w:w="0" w:type="dxa"/>
            <w:right w:w="0" w:type="dxa"/>
          </w:tblCellMar>
        </w:tblPrEx>
        <w:trPr>
          <w:trHeight w:val="936" w:hRule="atLeast"/>
          <w:jc w:val="center"/>
        </w:trPr>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b/>
                <w:bCs/>
                <w:color w:val="000000"/>
                <w:szCs w:val="21"/>
              </w:rPr>
            </w:pP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应急预案</w:t>
            </w:r>
          </w:p>
        </w:tc>
        <w:tc>
          <w:tcPr>
            <w:tcW w:w="7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9.9基地（营地）应制定和完善包括地震、火灾、食品卫生、治安事件、设施设备突发事故等在内的各项突发事件应急预案，并定期组织演练。</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制定完善应急预案并定期组织演练2分；制定完善应急预案1分。</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Cs w:val="21"/>
              </w:rPr>
            </w:pPr>
          </w:p>
        </w:tc>
      </w:tr>
      <w:tr>
        <w:tblPrEx>
          <w:tblCellMar>
            <w:top w:w="0" w:type="dxa"/>
            <w:left w:w="0" w:type="dxa"/>
            <w:bottom w:w="0" w:type="dxa"/>
            <w:right w:w="0" w:type="dxa"/>
          </w:tblCellMar>
        </w:tblPrEx>
        <w:trPr>
          <w:trHeight w:val="936" w:hRule="atLeast"/>
          <w:jc w:val="center"/>
        </w:trPr>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b/>
                <w:bCs/>
                <w:color w:val="000000"/>
                <w:szCs w:val="21"/>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b/>
                <w:bCs/>
                <w:color w:val="000000"/>
                <w:szCs w:val="21"/>
              </w:rPr>
            </w:pPr>
          </w:p>
        </w:tc>
        <w:tc>
          <w:tcPr>
            <w:tcW w:w="7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9.10基地（营地）在研学</w:t>
            </w:r>
            <w:r>
              <w:rPr>
                <w:rFonts w:hint="eastAsia" w:ascii="宋体" w:hAnsi="宋体" w:eastAsia="宋体" w:cs="宋体"/>
                <w:color w:val="000000"/>
                <w:kern w:val="0"/>
                <w:szCs w:val="21"/>
                <w:lang w:val="en-US" w:eastAsia="zh-CN"/>
              </w:rPr>
              <w:t>实践</w:t>
            </w:r>
            <w:r>
              <w:rPr>
                <w:rFonts w:hint="eastAsia" w:ascii="宋体" w:hAnsi="宋体" w:eastAsia="宋体" w:cs="宋体"/>
                <w:color w:val="000000"/>
                <w:kern w:val="0"/>
                <w:szCs w:val="21"/>
              </w:rPr>
              <w:t>活动过程中应全程做好安全应急防范措施，确保人员安全。宜建立与学校、家长的实时沟通平台。</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合则1分，不合0分，没有中间分值。</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Cs w:val="21"/>
              </w:rPr>
            </w:pPr>
          </w:p>
        </w:tc>
      </w:tr>
      <w:tr>
        <w:tblPrEx>
          <w:tblCellMar>
            <w:top w:w="0" w:type="dxa"/>
            <w:left w:w="0" w:type="dxa"/>
            <w:bottom w:w="0" w:type="dxa"/>
            <w:right w:w="0" w:type="dxa"/>
          </w:tblCellMar>
        </w:tblPrEx>
        <w:trPr>
          <w:trHeight w:val="624" w:hRule="atLeast"/>
          <w:jc w:val="center"/>
        </w:trPr>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b/>
                <w:bCs/>
                <w:color w:val="000000"/>
                <w:szCs w:val="21"/>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b/>
                <w:bCs/>
                <w:color w:val="000000"/>
                <w:szCs w:val="21"/>
              </w:rPr>
            </w:pPr>
          </w:p>
        </w:tc>
        <w:tc>
          <w:tcPr>
            <w:tcW w:w="7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9.11基地（营地）应制定安全教育和安全培训专项工作计划，定期对研学</w:t>
            </w:r>
            <w:r>
              <w:rPr>
                <w:rFonts w:hint="eastAsia" w:ascii="宋体" w:hAnsi="宋体" w:eastAsia="宋体" w:cs="宋体"/>
                <w:color w:val="000000"/>
                <w:kern w:val="0"/>
                <w:szCs w:val="21"/>
                <w:lang w:val="en-US" w:eastAsia="zh-CN"/>
              </w:rPr>
              <w:t>实践</w:t>
            </w:r>
            <w:r>
              <w:rPr>
                <w:rFonts w:hint="eastAsia" w:ascii="宋体" w:hAnsi="宋体" w:eastAsia="宋体" w:cs="宋体"/>
                <w:color w:val="000000"/>
                <w:kern w:val="0"/>
                <w:szCs w:val="21"/>
              </w:rPr>
              <w:t>相关活动的工作人员进行培训并有记录。</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有专项工作计划并定期组织培训2分；定期组织培训1分。</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Cs w:val="21"/>
              </w:rPr>
            </w:pPr>
          </w:p>
        </w:tc>
      </w:tr>
      <w:tr>
        <w:tblPrEx>
          <w:tblCellMar>
            <w:top w:w="0" w:type="dxa"/>
            <w:left w:w="0" w:type="dxa"/>
            <w:bottom w:w="0" w:type="dxa"/>
            <w:right w:w="0" w:type="dxa"/>
          </w:tblCellMar>
        </w:tblPrEx>
        <w:trPr>
          <w:trHeight w:val="1248" w:hRule="atLeast"/>
          <w:jc w:val="center"/>
        </w:trPr>
        <w:tc>
          <w:tcPr>
            <w:tcW w:w="143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十、质量与监控（9分）</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效果测评</w:t>
            </w:r>
          </w:p>
        </w:tc>
        <w:tc>
          <w:tcPr>
            <w:tcW w:w="7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10.1基地（营地）应建立包含学生评价、家长评价和学校评价在内的研学</w:t>
            </w:r>
            <w:r>
              <w:rPr>
                <w:rFonts w:hint="eastAsia" w:ascii="宋体" w:hAnsi="宋体" w:eastAsia="宋体" w:cs="宋体"/>
                <w:color w:val="000000"/>
                <w:kern w:val="0"/>
                <w:szCs w:val="21"/>
                <w:lang w:val="en-US" w:eastAsia="zh-CN"/>
              </w:rPr>
              <w:t>实践</w:t>
            </w:r>
            <w:r>
              <w:rPr>
                <w:rFonts w:hint="eastAsia" w:ascii="宋体" w:hAnsi="宋体" w:eastAsia="宋体" w:cs="宋体"/>
                <w:color w:val="000000"/>
                <w:kern w:val="0"/>
                <w:szCs w:val="21"/>
              </w:rPr>
              <w:t>教育效果的测评制度，真实反映学生参与研学</w:t>
            </w:r>
            <w:r>
              <w:rPr>
                <w:rFonts w:hint="eastAsia" w:ascii="宋体" w:hAnsi="宋体" w:eastAsia="宋体" w:cs="宋体"/>
                <w:color w:val="000000"/>
                <w:kern w:val="0"/>
                <w:szCs w:val="21"/>
                <w:lang w:val="en-US" w:eastAsia="zh-CN"/>
              </w:rPr>
              <w:t>实践</w:t>
            </w:r>
            <w:r>
              <w:rPr>
                <w:rFonts w:hint="eastAsia" w:ascii="宋体" w:hAnsi="宋体" w:eastAsia="宋体" w:cs="宋体"/>
                <w:color w:val="000000"/>
                <w:kern w:val="0"/>
                <w:szCs w:val="21"/>
              </w:rPr>
              <w:t>教育活动的教育效果和服务质量，评价结果存档保存，各项资料齐全。</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测评制度完整，各项材料齐全3分；测评制度完整2分；测评制度不完整1分。</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Cs w:val="21"/>
              </w:rPr>
            </w:pPr>
          </w:p>
        </w:tc>
      </w:tr>
      <w:tr>
        <w:tblPrEx>
          <w:tblCellMar>
            <w:top w:w="0" w:type="dxa"/>
            <w:left w:w="0" w:type="dxa"/>
            <w:bottom w:w="0" w:type="dxa"/>
            <w:right w:w="0" w:type="dxa"/>
          </w:tblCellMar>
        </w:tblPrEx>
        <w:trPr>
          <w:trHeight w:val="936" w:hRule="atLeast"/>
          <w:jc w:val="center"/>
        </w:trPr>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b/>
                <w:bCs/>
                <w:color w:val="000000"/>
                <w:szCs w:val="21"/>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b/>
                <w:bCs/>
                <w:color w:val="000000"/>
                <w:szCs w:val="21"/>
              </w:rPr>
            </w:pPr>
          </w:p>
        </w:tc>
        <w:tc>
          <w:tcPr>
            <w:tcW w:w="7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10.2基地（营地）应编制《研学</w:t>
            </w:r>
            <w:r>
              <w:rPr>
                <w:rFonts w:hint="eastAsia" w:ascii="宋体" w:hAnsi="宋体" w:eastAsia="宋体" w:cs="宋体"/>
                <w:color w:val="000000"/>
                <w:kern w:val="0"/>
                <w:szCs w:val="21"/>
                <w:lang w:val="en-US" w:eastAsia="zh-CN"/>
              </w:rPr>
              <w:t>实践</w:t>
            </w:r>
            <w:r>
              <w:rPr>
                <w:rFonts w:hint="eastAsia" w:ascii="宋体" w:hAnsi="宋体" w:eastAsia="宋体" w:cs="宋体"/>
                <w:color w:val="000000"/>
                <w:kern w:val="0"/>
                <w:szCs w:val="21"/>
              </w:rPr>
              <w:t>活动效果评价方案》，能够真实评价和反映学生知识、技能、情感等方面的掌握情况。</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有科学合理的《研学</w:t>
            </w:r>
            <w:r>
              <w:rPr>
                <w:rFonts w:hint="eastAsia" w:ascii="宋体" w:hAnsi="宋体" w:eastAsia="宋体" w:cs="宋体"/>
                <w:color w:val="000000"/>
                <w:kern w:val="0"/>
                <w:szCs w:val="21"/>
                <w:lang w:val="en-US" w:eastAsia="zh-CN"/>
              </w:rPr>
              <w:t>实践</w:t>
            </w:r>
            <w:r>
              <w:rPr>
                <w:rFonts w:hint="eastAsia" w:ascii="宋体" w:hAnsi="宋体" w:eastAsia="宋体" w:cs="宋体"/>
                <w:color w:val="000000"/>
                <w:kern w:val="0"/>
                <w:szCs w:val="21"/>
              </w:rPr>
              <w:t>活动效果评价方案》得3分，方案一般2分，没有方案0分。</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Cs w:val="21"/>
              </w:rPr>
            </w:pPr>
          </w:p>
        </w:tc>
      </w:tr>
      <w:tr>
        <w:tblPrEx>
          <w:tblCellMar>
            <w:top w:w="0" w:type="dxa"/>
            <w:left w:w="0" w:type="dxa"/>
            <w:bottom w:w="0" w:type="dxa"/>
            <w:right w:w="0" w:type="dxa"/>
          </w:tblCellMar>
        </w:tblPrEx>
        <w:trPr>
          <w:trHeight w:val="1248" w:hRule="atLeast"/>
          <w:jc w:val="center"/>
        </w:trPr>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b/>
                <w:bCs/>
                <w:color w:val="000000"/>
                <w:szCs w:val="21"/>
              </w:rPr>
            </w:pP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反馈与投诉处理</w:t>
            </w:r>
          </w:p>
        </w:tc>
        <w:tc>
          <w:tcPr>
            <w:tcW w:w="7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10.3基地（营地）应对各方面反馈的质量信息及时汇总分析，明确问题，找准原因，通过健全制度、加强培训、优化产品、完善服务要素和运行管理等措施，持续改进服务质量。</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合则1分，不合0分，没有中间分值。</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Cs w:val="21"/>
              </w:rPr>
            </w:pPr>
          </w:p>
        </w:tc>
      </w:tr>
      <w:tr>
        <w:tblPrEx>
          <w:tblCellMar>
            <w:top w:w="0" w:type="dxa"/>
            <w:left w:w="0" w:type="dxa"/>
            <w:bottom w:w="0" w:type="dxa"/>
            <w:right w:w="0" w:type="dxa"/>
          </w:tblCellMar>
        </w:tblPrEx>
        <w:trPr>
          <w:trHeight w:val="624" w:hRule="atLeast"/>
          <w:jc w:val="center"/>
        </w:trPr>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color w:val="000000"/>
                <w:szCs w:val="21"/>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color w:val="000000"/>
                <w:szCs w:val="21"/>
              </w:rPr>
            </w:pPr>
          </w:p>
        </w:tc>
        <w:tc>
          <w:tcPr>
            <w:tcW w:w="77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10.4基地（营地）的投诉制度应健全，流程清晰、渠道畅通，投诉处理及时、妥善，档案记录完整。</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投诉制度应健全、记录完整2分；投诉制度应健全1分。</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Cs w:val="21"/>
              </w:rPr>
            </w:pPr>
          </w:p>
        </w:tc>
      </w:tr>
      <w:tr>
        <w:tblPrEx>
          <w:tblCellMar>
            <w:top w:w="0" w:type="dxa"/>
            <w:left w:w="0" w:type="dxa"/>
            <w:bottom w:w="0" w:type="dxa"/>
            <w:right w:w="0" w:type="dxa"/>
          </w:tblCellMar>
        </w:tblPrEx>
        <w:trPr>
          <w:trHeight w:val="624" w:hRule="atLeast"/>
          <w:jc w:val="center"/>
        </w:trPr>
        <w:tc>
          <w:tcPr>
            <w:tcW w:w="31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color w:val="000000"/>
                <w:szCs w:val="21"/>
              </w:rPr>
            </w:pPr>
            <w:r>
              <w:rPr>
                <w:rFonts w:hint="eastAsia" w:ascii="宋体" w:hAnsi="宋体" w:eastAsia="宋体" w:cs="宋体"/>
                <w:b/>
                <w:bCs/>
                <w:color w:val="000000"/>
                <w:szCs w:val="21"/>
              </w:rPr>
              <w:t>总得分</w:t>
            </w:r>
          </w:p>
        </w:tc>
        <w:tc>
          <w:tcPr>
            <w:tcW w:w="11623"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hAnsi="宋体" w:eastAsia="宋体" w:cs="宋体"/>
                <w:color w:val="000000"/>
                <w:szCs w:val="21"/>
              </w:rPr>
            </w:pPr>
          </w:p>
        </w:tc>
      </w:tr>
      <w:tr>
        <w:tblPrEx>
          <w:tblCellMar>
            <w:top w:w="0" w:type="dxa"/>
            <w:left w:w="0" w:type="dxa"/>
            <w:bottom w:w="0" w:type="dxa"/>
            <w:right w:w="0" w:type="dxa"/>
          </w:tblCellMar>
        </w:tblPrEx>
        <w:trPr>
          <w:trHeight w:val="624" w:hRule="atLeast"/>
          <w:jc w:val="center"/>
        </w:trPr>
        <w:tc>
          <w:tcPr>
            <w:tcW w:w="14740"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eastAsia="宋体" w:cs="宋体"/>
                <w:color w:val="000000"/>
                <w:szCs w:val="21"/>
              </w:rPr>
            </w:pPr>
            <w:r>
              <w:rPr>
                <w:rFonts w:hint="eastAsia" w:asciiTheme="minorEastAsia" w:hAnsiTheme="minorEastAsia" w:cstheme="minorEastAsia"/>
                <w:color w:val="FF0000"/>
                <w:kern w:val="0"/>
                <w:sz w:val="18"/>
                <w:szCs w:val="18"/>
              </w:rPr>
              <w:t>注：广州市花都区中小学生研学实践教育基地（营地）自评总分达60分以上且所有必备项均达标者方可提交申报，专家综合评定总分达80分以上予以准入和挂牌。</w:t>
            </w:r>
          </w:p>
        </w:tc>
      </w:tr>
    </w:tbl>
    <w:p>
      <w:pPr>
        <w:widowControl/>
        <w:shd w:val="clear" w:color="auto" w:fill="FFFFFF"/>
        <w:spacing w:line="560" w:lineRule="exact"/>
        <w:rPr>
          <w:rFonts w:ascii="黑体" w:hAnsi="黑体" w:eastAsia="黑体" w:cs="黑体"/>
          <w:kern w:val="0"/>
          <w:sz w:val="32"/>
          <w:szCs w:val="32"/>
        </w:rPr>
      </w:pPr>
    </w:p>
    <w:p>
      <w:pPr>
        <w:widowControl/>
        <w:shd w:val="clear" w:color="auto" w:fill="FFFFFF"/>
        <w:spacing w:line="560" w:lineRule="exact"/>
        <w:rPr>
          <w:rFonts w:ascii="黑体" w:hAnsi="黑体" w:eastAsia="黑体" w:cs="黑体"/>
          <w:kern w:val="0"/>
          <w:sz w:val="32"/>
          <w:szCs w:val="32"/>
        </w:rPr>
      </w:pPr>
    </w:p>
    <w:p>
      <w:pPr>
        <w:widowControl/>
        <w:shd w:val="clear" w:color="auto" w:fill="FFFFFF"/>
        <w:spacing w:line="560" w:lineRule="exact"/>
        <w:rPr>
          <w:rFonts w:ascii="黑体" w:hAnsi="黑体" w:eastAsia="黑体" w:cs="黑体"/>
          <w:kern w:val="0"/>
          <w:sz w:val="32"/>
          <w:szCs w:val="32"/>
        </w:rPr>
      </w:pPr>
    </w:p>
    <w:p>
      <w:pPr>
        <w:widowControl/>
        <w:shd w:val="clear" w:color="auto" w:fill="FFFFFF"/>
        <w:spacing w:line="560" w:lineRule="exact"/>
        <w:rPr>
          <w:rFonts w:hint="eastAsia" w:ascii="黑体" w:hAnsi="黑体" w:eastAsia="黑体" w:cs="黑体"/>
          <w:kern w:val="0"/>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pStyle w:val="2"/>
      </w:pPr>
    </w:p>
    <w:sectPr>
      <w:footerReference r:id="rId5" w:type="default"/>
      <w:type w:val="continuous"/>
      <w:pgSz w:w="16838" w:h="11906" w:orient="landscape"/>
      <w:pgMar w:top="1588" w:right="1418" w:bottom="1588"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F2A2B2A-D7BE-43BF-8424-4BE389AFA76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E78ACFE-C1AD-434D-9678-FC3AD9C742EE}"/>
  </w:font>
  <w:font w:name="方正小标宋_GBK">
    <w:panose1 w:val="03000509000000000000"/>
    <w:charset w:val="86"/>
    <w:family w:val="auto"/>
    <w:pitch w:val="default"/>
    <w:sig w:usb0="00000001" w:usb1="080E0000" w:usb2="00000000" w:usb3="00000000" w:csb0="00040000" w:csb1="00000000"/>
    <w:embedRegular r:id="rId3" w:fontKey="{3DDE2FF0-5A3C-4A7A-A714-1A9C9658EB8B}"/>
  </w:font>
  <w:font w:name="仿宋">
    <w:panose1 w:val="02010609060101010101"/>
    <w:charset w:val="86"/>
    <w:family w:val="modern"/>
    <w:pitch w:val="default"/>
    <w:sig w:usb0="800002BF" w:usb1="38CF7CFA" w:usb2="00000016" w:usb3="00000000" w:csb0="00040001" w:csb1="00000000"/>
    <w:embedRegular r:id="rId4" w:fontKey="{8875F9D9-103D-47C0-A71B-1020EFA6CF91}"/>
  </w:font>
  <w:font w:name="仿宋_GB2312">
    <w:panose1 w:val="02010609030101010101"/>
    <w:charset w:val="86"/>
    <w:family w:val="modern"/>
    <w:pitch w:val="default"/>
    <w:sig w:usb0="00000001" w:usb1="080E0000" w:usb2="00000000" w:usb3="00000000" w:csb0="00040000" w:csb1="00000000"/>
    <w:embedRegular r:id="rId5" w:fontKey="{9492C33E-093B-4496-AC3D-8C720D6013A0}"/>
  </w:font>
  <w:font w:name="楷体">
    <w:panose1 w:val="02010609060101010101"/>
    <w:charset w:val="86"/>
    <w:family w:val="modern"/>
    <w:pitch w:val="default"/>
    <w:sig w:usb0="800002BF" w:usb1="38CF7CFA" w:usb2="00000016" w:usb3="00000000" w:csb0="00040001" w:csb1="00000000"/>
    <w:embedRegular r:id="rId6" w:fontKey="{5A49AF24-D4C4-4419-BF55-5E9A510CC63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50794"/>
      <w:docPartObj>
        <w:docPartGallery w:val="autotext"/>
      </w:docPartObj>
    </w:sdtPr>
    <w:sdtContent>
      <w:p>
        <w:pPr>
          <w:pStyle w:val="21"/>
        </w:pPr>
        <w:r>
          <w:fldChar w:fldCharType="begin"/>
        </w:r>
        <w:r>
          <w:instrText xml:space="preserve"> PAGE   \* MERGEFORMAT </w:instrText>
        </w:r>
        <w:r>
          <w:fldChar w:fldCharType="separate"/>
        </w:r>
        <w:r>
          <w:rPr>
            <w:lang w:val="zh-CN"/>
          </w:rPr>
          <w:t>-</w:t>
        </w:r>
        <w:r>
          <w:t xml:space="preserve"> 5 -</w:t>
        </w:r>
        <w:r>
          <w:fldChar w:fldCharType="end"/>
        </w:r>
      </w:p>
    </w:sdtContent>
  </w:sdt>
  <w:p>
    <w:pPr>
      <w:pStyle w:val="21"/>
      <w:tabs>
        <w:tab w:val="center" w:pos="4153"/>
        <w:tab w:val="right"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50801"/>
      <w:docPartObj>
        <w:docPartGallery w:val="autotext"/>
      </w:docPartObj>
    </w:sdtPr>
    <w:sdtContent>
      <w:p>
        <w:pPr>
          <w:pStyle w:val="21"/>
        </w:pPr>
        <w:r>
          <w:fldChar w:fldCharType="begin"/>
        </w:r>
        <w:r>
          <w:instrText xml:space="preserve"> PAGE   \* MERGEFORMAT </w:instrText>
        </w:r>
        <w:r>
          <w:fldChar w:fldCharType="separate"/>
        </w:r>
        <w:r>
          <w:rPr>
            <w:lang w:val="zh-CN"/>
          </w:rPr>
          <w:t>-</w:t>
        </w:r>
        <w:r>
          <w:t xml:space="preserve"> 16 -</w:t>
        </w:r>
        <w:r>
          <w:fldChar w:fldCharType="end"/>
        </w:r>
      </w:p>
    </w:sdtContent>
  </w:sdt>
  <w:p>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153"/>
        <w:tab w:val="right" w:pos="8306"/>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116"/>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8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12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11"/>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120"/>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76"/>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64"/>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63"/>
      <w:suff w:val="nothing"/>
      <w:lvlText w:val="%1.%2.%3　"/>
      <w:lvlJc w:val="left"/>
      <w:pPr>
        <w:ind w:left="0" w:firstLine="0"/>
      </w:pPr>
      <w:rPr>
        <w:rFonts w:hint="eastAsia" w:ascii="黑体" w:hAnsi="Times New Roman" w:eastAsia="黑体"/>
        <w:b w:val="0"/>
        <w:i w:val="0"/>
        <w:sz w:val="21"/>
      </w:rPr>
    </w:lvl>
    <w:lvl w:ilvl="3" w:tentative="0">
      <w:start w:val="1"/>
      <w:numFmt w:val="decimal"/>
      <w:pStyle w:val="69"/>
      <w:suff w:val="nothing"/>
      <w:lvlText w:val="%1.%2.%3.%4　"/>
      <w:lvlJc w:val="left"/>
      <w:pPr>
        <w:ind w:left="709" w:firstLine="0"/>
      </w:pPr>
      <w:rPr>
        <w:rFonts w:hint="eastAsia" w:ascii="黑体" w:hAnsi="Times New Roman" w:eastAsia="黑体"/>
        <w:b w:val="0"/>
        <w:i w:val="0"/>
        <w:sz w:val="21"/>
      </w:rPr>
    </w:lvl>
    <w:lvl w:ilvl="4" w:tentative="0">
      <w:start w:val="1"/>
      <w:numFmt w:val="decimal"/>
      <w:pStyle w:val="83"/>
      <w:suff w:val="nothing"/>
      <w:lvlText w:val="%1.%2.%3.%4.%5　"/>
      <w:lvlJc w:val="left"/>
      <w:pPr>
        <w:ind w:left="0" w:firstLine="0"/>
      </w:pPr>
      <w:rPr>
        <w:rFonts w:hint="eastAsia" w:ascii="黑体" w:hAnsi="Times New Roman" w:eastAsia="黑体"/>
        <w:b w:val="0"/>
        <w:i w:val="0"/>
        <w:sz w:val="21"/>
      </w:rPr>
    </w:lvl>
    <w:lvl w:ilvl="5" w:tentative="0">
      <w:start w:val="1"/>
      <w:numFmt w:val="decimal"/>
      <w:pStyle w:val="96"/>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138"/>
      <w:suff w:val="space"/>
      <w:lvlText w:val="%1"/>
      <w:lvlJc w:val="left"/>
      <w:pPr>
        <w:ind w:left="623" w:hanging="425"/>
      </w:pPr>
      <w:rPr>
        <w:rFonts w:hint="eastAsia"/>
      </w:rPr>
    </w:lvl>
    <w:lvl w:ilvl="1" w:tentative="0">
      <w:start w:val="1"/>
      <w:numFmt w:val="decimal"/>
      <w:pStyle w:val="132"/>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94"/>
      <w:suff w:val="nothing"/>
      <w:lvlText w:val="%1——"/>
      <w:lvlJc w:val="left"/>
      <w:pPr>
        <w:ind w:left="833" w:hanging="408"/>
      </w:pPr>
      <w:rPr>
        <w:rFonts w:hint="eastAsia"/>
      </w:rPr>
    </w:lvl>
    <w:lvl w:ilvl="1" w:tentative="0">
      <w:start w:val="1"/>
      <w:numFmt w:val="bullet"/>
      <w:pStyle w:val="105"/>
      <w:lvlText w:val=""/>
      <w:lvlJc w:val="left"/>
      <w:pPr>
        <w:tabs>
          <w:tab w:val="left" w:pos="760"/>
        </w:tabs>
        <w:ind w:left="1264" w:hanging="413"/>
      </w:pPr>
      <w:rPr>
        <w:rFonts w:hint="default" w:ascii="Symbol" w:hAnsi="Symbol"/>
        <w:color w:val="auto"/>
      </w:rPr>
    </w:lvl>
    <w:lvl w:ilvl="2" w:tentative="0">
      <w:start w:val="1"/>
      <w:numFmt w:val="bullet"/>
      <w:pStyle w:val="13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8"/>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61"/>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67"/>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92"/>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0">
    <w:nsid w:val="4B733A5F"/>
    <w:multiLevelType w:val="multilevel"/>
    <w:tmpl w:val="4B733A5F"/>
    <w:lvl w:ilvl="0" w:tentative="0">
      <w:start w:val="1"/>
      <w:numFmt w:val="decimal"/>
      <w:pStyle w:val="75"/>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58"/>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80"/>
      <w:lvlText w:val="%1"/>
      <w:lvlJc w:val="left"/>
      <w:pPr>
        <w:tabs>
          <w:tab w:val="left" w:pos="0"/>
        </w:tabs>
        <w:ind w:left="0" w:hanging="425"/>
      </w:pPr>
      <w:rPr>
        <w:rFonts w:hint="eastAsia"/>
      </w:rPr>
    </w:lvl>
    <w:lvl w:ilvl="1" w:tentative="0">
      <w:start w:val="1"/>
      <w:numFmt w:val="decimal"/>
      <w:pStyle w:val="6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02"/>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135"/>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7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70"/>
      <w:suff w:val="nothing"/>
      <w:lvlText w:val="%1.%2.%3　"/>
      <w:lvlJc w:val="left"/>
      <w:pPr>
        <w:ind w:left="0" w:firstLine="0"/>
      </w:pPr>
      <w:rPr>
        <w:rFonts w:hint="eastAsia" w:ascii="黑体" w:hAnsi="Times New Roman" w:eastAsia="黑体"/>
        <w:b w:val="0"/>
        <w:i w:val="0"/>
        <w:sz w:val="21"/>
      </w:rPr>
    </w:lvl>
    <w:lvl w:ilvl="3" w:tentative="0">
      <w:start w:val="1"/>
      <w:numFmt w:val="decimal"/>
      <w:pStyle w:val="53"/>
      <w:suff w:val="nothing"/>
      <w:lvlText w:val="%1.%2.%3.%4　"/>
      <w:lvlJc w:val="left"/>
      <w:pPr>
        <w:ind w:left="0" w:firstLine="0"/>
      </w:pPr>
      <w:rPr>
        <w:rFonts w:hint="eastAsia" w:ascii="黑体" w:hAnsi="Times New Roman" w:eastAsia="黑体"/>
        <w:b w:val="0"/>
        <w:i w:val="0"/>
        <w:sz w:val="21"/>
      </w:rPr>
    </w:lvl>
    <w:lvl w:ilvl="4" w:tentative="0">
      <w:start w:val="1"/>
      <w:numFmt w:val="decimal"/>
      <w:pStyle w:val="52"/>
      <w:suff w:val="nothing"/>
      <w:lvlText w:val="%1.%2.%3.%4.%5　"/>
      <w:lvlJc w:val="left"/>
      <w:pPr>
        <w:ind w:left="0" w:firstLine="0"/>
      </w:pPr>
      <w:rPr>
        <w:rFonts w:hint="eastAsia" w:ascii="黑体" w:hAnsi="Times New Roman" w:eastAsia="黑体"/>
        <w:b w:val="0"/>
        <w:i w:val="0"/>
        <w:sz w:val="21"/>
      </w:rPr>
    </w:lvl>
    <w:lvl w:ilvl="5" w:tentative="0">
      <w:start w:val="1"/>
      <w:numFmt w:val="decimal"/>
      <w:pStyle w:val="51"/>
      <w:suff w:val="nothing"/>
      <w:lvlText w:val="%1.%2.%3.%4.%5.%6　"/>
      <w:lvlJc w:val="left"/>
      <w:pPr>
        <w:ind w:left="0" w:firstLine="0"/>
      </w:pPr>
      <w:rPr>
        <w:rFonts w:hint="eastAsia" w:ascii="黑体" w:hAnsi="Times New Roman" w:eastAsia="黑体"/>
        <w:b w:val="0"/>
        <w:i w:val="0"/>
        <w:sz w:val="21"/>
      </w:rPr>
    </w:lvl>
    <w:lvl w:ilvl="6" w:tentative="0">
      <w:start w:val="1"/>
      <w:numFmt w:val="decimal"/>
      <w:pStyle w:val="5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85"/>
      <w:lvlText w:val="%1)"/>
      <w:lvlJc w:val="left"/>
      <w:pPr>
        <w:tabs>
          <w:tab w:val="left" w:pos="839"/>
        </w:tabs>
        <w:ind w:left="839" w:hanging="419"/>
      </w:pPr>
      <w:rPr>
        <w:rFonts w:hint="eastAsia" w:ascii="宋体" w:eastAsia="宋体"/>
        <w:b w:val="0"/>
        <w:i w:val="0"/>
        <w:sz w:val="21"/>
      </w:rPr>
    </w:lvl>
    <w:lvl w:ilvl="1" w:tentative="0">
      <w:start w:val="1"/>
      <w:numFmt w:val="decimal"/>
      <w:pStyle w:val="125"/>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tentative="0">
      <w:start w:val="1"/>
      <w:numFmt w:val="none"/>
      <w:pStyle w:val="91"/>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14"/>
  </w:num>
  <w:num w:numId="3">
    <w:abstractNumId w:val="11"/>
  </w:num>
  <w:num w:numId="4">
    <w:abstractNumId w:val="9"/>
  </w:num>
  <w:num w:numId="5">
    <w:abstractNumId w:val="5"/>
  </w:num>
  <w:num w:numId="6">
    <w:abstractNumId w:val="12"/>
  </w:num>
  <w:num w:numId="7">
    <w:abstractNumId w:val="10"/>
  </w:num>
  <w:num w:numId="8">
    <w:abstractNumId w:val="15"/>
  </w:num>
  <w:num w:numId="9">
    <w:abstractNumId w:val="1"/>
  </w:num>
  <w:num w:numId="10">
    <w:abstractNumId w:val="16"/>
  </w:num>
  <w:num w:numId="11">
    <w:abstractNumId w:val="7"/>
  </w:num>
  <w:num w:numId="12">
    <w:abstractNumId w:val="13"/>
  </w:num>
  <w:num w:numId="13">
    <w:abstractNumId w:val="3"/>
  </w:num>
  <w:num w:numId="14">
    <w:abstractNumId w:val="0"/>
  </w:num>
  <w:num w:numId="15">
    <w:abstractNumId w:val="4"/>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450"/>
    <w:rsid w:val="00000244"/>
    <w:rsid w:val="0000185F"/>
    <w:rsid w:val="0000586F"/>
    <w:rsid w:val="00013D86"/>
    <w:rsid w:val="00013E02"/>
    <w:rsid w:val="0002143C"/>
    <w:rsid w:val="00025A65"/>
    <w:rsid w:val="00026C31"/>
    <w:rsid w:val="00027280"/>
    <w:rsid w:val="000320A7"/>
    <w:rsid w:val="0003381D"/>
    <w:rsid w:val="00035925"/>
    <w:rsid w:val="00042E8B"/>
    <w:rsid w:val="00051789"/>
    <w:rsid w:val="00056C0A"/>
    <w:rsid w:val="00064950"/>
    <w:rsid w:val="00067CDF"/>
    <w:rsid w:val="00071DBE"/>
    <w:rsid w:val="00074FBE"/>
    <w:rsid w:val="0007745D"/>
    <w:rsid w:val="00083A09"/>
    <w:rsid w:val="0008418F"/>
    <w:rsid w:val="0009005E"/>
    <w:rsid w:val="00092857"/>
    <w:rsid w:val="000A20A9"/>
    <w:rsid w:val="000A48B1"/>
    <w:rsid w:val="000B3143"/>
    <w:rsid w:val="000C0923"/>
    <w:rsid w:val="000C68FF"/>
    <w:rsid w:val="000C6B05"/>
    <w:rsid w:val="000C6DD6"/>
    <w:rsid w:val="000C73D4"/>
    <w:rsid w:val="000D3D4C"/>
    <w:rsid w:val="000D4F51"/>
    <w:rsid w:val="000D718B"/>
    <w:rsid w:val="000E0C46"/>
    <w:rsid w:val="000E6CF2"/>
    <w:rsid w:val="000F030C"/>
    <w:rsid w:val="000F129C"/>
    <w:rsid w:val="000F4985"/>
    <w:rsid w:val="001056DE"/>
    <w:rsid w:val="001124C0"/>
    <w:rsid w:val="0013175F"/>
    <w:rsid w:val="0014443A"/>
    <w:rsid w:val="001512B4"/>
    <w:rsid w:val="001620A5"/>
    <w:rsid w:val="00164E53"/>
    <w:rsid w:val="0016699D"/>
    <w:rsid w:val="0017334A"/>
    <w:rsid w:val="00175159"/>
    <w:rsid w:val="00176208"/>
    <w:rsid w:val="00181F6C"/>
    <w:rsid w:val="0018211B"/>
    <w:rsid w:val="00183342"/>
    <w:rsid w:val="001840D3"/>
    <w:rsid w:val="001900F8"/>
    <w:rsid w:val="00191258"/>
    <w:rsid w:val="00192680"/>
    <w:rsid w:val="00193037"/>
    <w:rsid w:val="00193A2C"/>
    <w:rsid w:val="001947E1"/>
    <w:rsid w:val="001A288E"/>
    <w:rsid w:val="001B6DC2"/>
    <w:rsid w:val="001C149C"/>
    <w:rsid w:val="001C21AC"/>
    <w:rsid w:val="001C47BA"/>
    <w:rsid w:val="001C59EA"/>
    <w:rsid w:val="001D406C"/>
    <w:rsid w:val="001D41EE"/>
    <w:rsid w:val="001E0380"/>
    <w:rsid w:val="001E13B1"/>
    <w:rsid w:val="001E1D98"/>
    <w:rsid w:val="001F3A19"/>
    <w:rsid w:val="00222FFB"/>
    <w:rsid w:val="00234467"/>
    <w:rsid w:val="00237D8D"/>
    <w:rsid w:val="00241DA2"/>
    <w:rsid w:val="00247FEE"/>
    <w:rsid w:val="00250E7D"/>
    <w:rsid w:val="002565D5"/>
    <w:rsid w:val="002622C0"/>
    <w:rsid w:val="0027403C"/>
    <w:rsid w:val="0027415A"/>
    <w:rsid w:val="002778AE"/>
    <w:rsid w:val="0028269A"/>
    <w:rsid w:val="00283590"/>
    <w:rsid w:val="00286973"/>
    <w:rsid w:val="00294E70"/>
    <w:rsid w:val="002A1924"/>
    <w:rsid w:val="002A7420"/>
    <w:rsid w:val="002B0F12"/>
    <w:rsid w:val="002B1308"/>
    <w:rsid w:val="002B4554"/>
    <w:rsid w:val="002C72D8"/>
    <w:rsid w:val="002D095D"/>
    <w:rsid w:val="002D11FA"/>
    <w:rsid w:val="002E0DDF"/>
    <w:rsid w:val="002E2906"/>
    <w:rsid w:val="002E5635"/>
    <w:rsid w:val="002E64C3"/>
    <w:rsid w:val="002E6A2C"/>
    <w:rsid w:val="002F1D8C"/>
    <w:rsid w:val="002F21DA"/>
    <w:rsid w:val="00301F39"/>
    <w:rsid w:val="00322037"/>
    <w:rsid w:val="00325926"/>
    <w:rsid w:val="00327A8A"/>
    <w:rsid w:val="00336610"/>
    <w:rsid w:val="00336634"/>
    <w:rsid w:val="00343F73"/>
    <w:rsid w:val="00345060"/>
    <w:rsid w:val="0035323B"/>
    <w:rsid w:val="003609D2"/>
    <w:rsid w:val="00363F22"/>
    <w:rsid w:val="003663E5"/>
    <w:rsid w:val="00375564"/>
    <w:rsid w:val="00383191"/>
    <w:rsid w:val="00386DED"/>
    <w:rsid w:val="003912E7"/>
    <w:rsid w:val="00393947"/>
    <w:rsid w:val="003A2275"/>
    <w:rsid w:val="003A6A4F"/>
    <w:rsid w:val="003A7088"/>
    <w:rsid w:val="003B00DF"/>
    <w:rsid w:val="003B1275"/>
    <w:rsid w:val="003B1778"/>
    <w:rsid w:val="003C11CB"/>
    <w:rsid w:val="003C2AA9"/>
    <w:rsid w:val="003C75F3"/>
    <w:rsid w:val="003C78A3"/>
    <w:rsid w:val="003E1867"/>
    <w:rsid w:val="003E5729"/>
    <w:rsid w:val="003F4EE0"/>
    <w:rsid w:val="00402153"/>
    <w:rsid w:val="00402FC1"/>
    <w:rsid w:val="00414044"/>
    <w:rsid w:val="00425082"/>
    <w:rsid w:val="00431DEB"/>
    <w:rsid w:val="00446B29"/>
    <w:rsid w:val="00453F9A"/>
    <w:rsid w:val="00455281"/>
    <w:rsid w:val="00471E91"/>
    <w:rsid w:val="00474675"/>
    <w:rsid w:val="0047470C"/>
    <w:rsid w:val="00477149"/>
    <w:rsid w:val="00487F18"/>
    <w:rsid w:val="004929A2"/>
    <w:rsid w:val="004A35F9"/>
    <w:rsid w:val="004B24C1"/>
    <w:rsid w:val="004C292F"/>
    <w:rsid w:val="004F3D3E"/>
    <w:rsid w:val="00510280"/>
    <w:rsid w:val="00513D73"/>
    <w:rsid w:val="00514A43"/>
    <w:rsid w:val="005174E5"/>
    <w:rsid w:val="00522393"/>
    <w:rsid w:val="00522620"/>
    <w:rsid w:val="00525656"/>
    <w:rsid w:val="00534C02"/>
    <w:rsid w:val="0054264B"/>
    <w:rsid w:val="00543786"/>
    <w:rsid w:val="005533D7"/>
    <w:rsid w:val="00554115"/>
    <w:rsid w:val="0056677D"/>
    <w:rsid w:val="005703DE"/>
    <w:rsid w:val="00583CE3"/>
    <w:rsid w:val="0058464E"/>
    <w:rsid w:val="00594D81"/>
    <w:rsid w:val="005A01CB"/>
    <w:rsid w:val="005A58FF"/>
    <w:rsid w:val="005A5EAF"/>
    <w:rsid w:val="005A64C0"/>
    <w:rsid w:val="005B3C11"/>
    <w:rsid w:val="005C0B26"/>
    <w:rsid w:val="005C1C28"/>
    <w:rsid w:val="005C6DB5"/>
    <w:rsid w:val="005E19E7"/>
    <w:rsid w:val="005E3AE2"/>
    <w:rsid w:val="0061716C"/>
    <w:rsid w:val="006243A1"/>
    <w:rsid w:val="0062556A"/>
    <w:rsid w:val="00632E56"/>
    <w:rsid w:val="00635CBA"/>
    <w:rsid w:val="0064338B"/>
    <w:rsid w:val="00646542"/>
    <w:rsid w:val="006504F4"/>
    <w:rsid w:val="00654136"/>
    <w:rsid w:val="00654BC9"/>
    <w:rsid w:val="006552FD"/>
    <w:rsid w:val="00663AF3"/>
    <w:rsid w:val="00666B6C"/>
    <w:rsid w:val="00682682"/>
    <w:rsid w:val="00682702"/>
    <w:rsid w:val="0068339F"/>
    <w:rsid w:val="00692368"/>
    <w:rsid w:val="006A2EBC"/>
    <w:rsid w:val="006A5EA0"/>
    <w:rsid w:val="006A783B"/>
    <w:rsid w:val="006A7B33"/>
    <w:rsid w:val="006B4E13"/>
    <w:rsid w:val="006B75DD"/>
    <w:rsid w:val="006B7DEB"/>
    <w:rsid w:val="006C67E0"/>
    <w:rsid w:val="006C7ABA"/>
    <w:rsid w:val="006D0D60"/>
    <w:rsid w:val="006D1122"/>
    <w:rsid w:val="006D3C00"/>
    <w:rsid w:val="006E3675"/>
    <w:rsid w:val="006E3BB0"/>
    <w:rsid w:val="006E4A7F"/>
    <w:rsid w:val="006F62F9"/>
    <w:rsid w:val="00704DF6"/>
    <w:rsid w:val="0070651C"/>
    <w:rsid w:val="007132A3"/>
    <w:rsid w:val="00716421"/>
    <w:rsid w:val="00723007"/>
    <w:rsid w:val="00724EFB"/>
    <w:rsid w:val="007419C3"/>
    <w:rsid w:val="007467A7"/>
    <w:rsid w:val="007469DD"/>
    <w:rsid w:val="0074741B"/>
    <w:rsid w:val="0074759E"/>
    <w:rsid w:val="007478EA"/>
    <w:rsid w:val="00752039"/>
    <w:rsid w:val="0075415C"/>
    <w:rsid w:val="00763502"/>
    <w:rsid w:val="007679E5"/>
    <w:rsid w:val="007913AB"/>
    <w:rsid w:val="007914F7"/>
    <w:rsid w:val="007B1625"/>
    <w:rsid w:val="007B39A5"/>
    <w:rsid w:val="007B706E"/>
    <w:rsid w:val="007B71EB"/>
    <w:rsid w:val="007C6205"/>
    <w:rsid w:val="007C686A"/>
    <w:rsid w:val="007C728E"/>
    <w:rsid w:val="007D2C53"/>
    <w:rsid w:val="007D3D60"/>
    <w:rsid w:val="007E1980"/>
    <w:rsid w:val="007E4B76"/>
    <w:rsid w:val="007E5EA8"/>
    <w:rsid w:val="007F0CF1"/>
    <w:rsid w:val="007F12A5"/>
    <w:rsid w:val="007F4CF1"/>
    <w:rsid w:val="007F758D"/>
    <w:rsid w:val="007F7D52"/>
    <w:rsid w:val="008063CC"/>
    <w:rsid w:val="0080654C"/>
    <w:rsid w:val="008071C6"/>
    <w:rsid w:val="00817A00"/>
    <w:rsid w:val="00823F36"/>
    <w:rsid w:val="00835DB3"/>
    <w:rsid w:val="0083617B"/>
    <w:rsid w:val="008371BD"/>
    <w:rsid w:val="008504A8"/>
    <w:rsid w:val="00850A61"/>
    <w:rsid w:val="0085282E"/>
    <w:rsid w:val="0087198C"/>
    <w:rsid w:val="00872C1F"/>
    <w:rsid w:val="00873B42"/>
    <w:rsid w:val="00875FF6"/>
    <w:rsid w:val="008856D8"/>
    <w:rsid w:val="00892E82"/>
    <w:rsid w:val="008A2812"/>
    <w:rsid w:val="008A5B0E"/>
    <w:rsid w:val="008C1B58"/>
    <w:rsid w:val="008C39AE"/>
    <w:rsid w:val="008C590D"/>
    <w:rsid w:val="008E031B"/>
    <w:rsid w:val="008E7029"/>
    <w:rsid w:val="008E7EF6"/>
    <w:rsid w:val="008F1F98"/>
    <w:rsid w:val="008F6758"/>
    <w:rsid w:val="009040DD"/>
    <w:rsid w:val="00905B47"/>
    <w:rsid w:val="00912B5B"/>
    <w:rsid w:val="0091331C"/>
    <w:rsid w:val="00917B10"/>
    <w:rsid w:val="00921105"/>
    <w:rsid w:val="009279DE"/>
    <w:rsid w:val="00930116"/>
    <w:rsid w:val="0094212C"/>
    <w:rsid w:val="009473E9"/>
    <w:rsid w:val="009544DA"/>
    <w:rsid w:val="00954689"/>
    <w:rsid w:val="009617C9"/>
    <w:rsid w:val="00961C93"/>
    <w:rsid w:val="00964A8D"/>
    <w:rsid w:val="00965324"/>
    <w:rsid w:val="0097091E"/>
    <w:rsid w:val="009760D3"/>
    <w:rsid w:val="00977132"/>
    <w:rsid w:val="00981A4B"/>
    <w:rsid w:val="00982501"/>
    <w:rsid w:val="009877D3"/>
    <w:rsid w:val="009915E3"/>
    <w:rsid w:val="00994E8F"/>
    <w:rsid w:val="009951DC"/>
    <w:rsid w:val="009959BB"/>
    <w:rsid w:val="00997158"/>
    <w:rsid w:val="009A3A7C"/>
    <w:rsid w:val="009B2ADB"/>
    <w:rsid w:val="009B603A"/>
    <w:rsid w:val="009C2D0E"/>
    <w:rsid w:val="009C3DAC"/>
    <w:rsid w:val="009C42E0"/>
    <w:rsid w:val="009D5362"/>
    <w:rsid w:val="009E1415"/>
    <w:rsid w:val="009E21DD"/>
    <w:rsid w:val="009E5427"/>
    <w:rsid w:val="009E6116"/>
    <w:rsid w:val="00A02E43"/>
    <w:rsid w:val="00A02E6A"/>
    <w:rsid w:val="00A065F9"/>
    <w:rsid w:val="00A07F34"/>
    <w:rsid w:val="00A22154"/>
    <w:rsid w:val="00A25C38"/>
    <w:rsid w:val="00A32FE7"/>
    <w:rsid w:val="00A36BBE"/>
    <w:rsid w:val="00A4307A"/>
    <w:rsid w:val="00A47EBB"/>
    <w:rsid w:val="00A51CDD"/>
    <w:rsid w:val="00A6730D"/>
    <w:rsid w:val="00A71625"/>
    <w:rsid w:val="00A71B9B"/>
    <w:rsid w:val="00A751C7"/>
    <w:rsid w:val="00A87844"/>
    <w:rsid w:val="00AA038C"/>
    <w:rsid w:val="00AA7A09"/>
    <w:rsid w:val="00AB0141"/>
    <w:rsid w:val="00AB3B50"/>
    <w:rsid w:val="00AC05B1"/>
    <w:rsid w:val="00AD356C"/>
    <w:rsid w:val="00AE0284"/>
    <w:rsid w:val="00AE2914"/>
    <w:rsid w:val="00AE6D15"/>
    <w:rsid w:val="00B0117D"/>
    <w:rsid w:val="00B04182"/>
    <w:rsid w:val="00B07AE3"/>
    <w:rsid w:val="00B1045E"/>
    <w:rsid w:val="00B11430"/>
    <w:rsid w:val="00B20D50"/>
    <w:rsid w:val="00B3072A"/>
    <w:rsid w:val="00B353EB"/>
    <w:rsid w:val="00B439C4"/>
    <w:rsid w:val="00B43B15"/>
    <w:rsid w:val="00B4535E"/>
    <w:rsid w:val="00B52A8C"/>
    <w:rsid w:val="00B55D82"/>
    <w:rsid w:val="00B636A8"/>
    <w:rsid w:val="00B665C6"/>
    <w:rsid w:val="00B7430E"/>
    <w:rsid w:val="00B805AF"/>
    <w:rsid w:val="00B869EC"/>
    <w:rsid w:val="00B9397A"/>
    <w:rsid w:val="00B9633D"/>
    <w:rsid w:val="00BA2EBE"/>
    <w:rsid w:val="00BB0F28"/>
    <w:rsid w:val="00BB458A"/>
    <w:rsid w:val="00BD00D3"/>
    <w:rsid w:val="00BD1659"/>
    <w:rsid w:val="00BD3AA9"/>
    <w:rsid w:val="00BD4A18"/>
    <w:rsid w:val="00BD6DB2"/>
    <w:rsid w:val="00BE11CF"/>
    <w:rsid w:val="00BE21AB"/>
    <w:rsid w:val="00BE55CB"/>
    <w:rsid w:val="00BF617A"/>
    <w:rsid w:val="00C0379D"/>
    <w:rsid w:val="00C03931"/>
    <w:rsid w:val="00C05FE3"/>
    <w:rsid w:val="00C2136D"/>
    <w:rsid w:val="00C214EE"/>
    <w:rsid w:val="00C2314B"/>
    <w:rsid w:val="00C24971"/>
    <w:rsid w:val="00C24B81"/>
    <w:rsid w:val="00C26BE5"/>
    <w:rsid w:val="00C26E4D"/>
    <w:rsid w:val="00C27909"/>
    <w:rsid w:val="00C27B03"/>
    <w:rsid w:val="00C314E1"/>
    <w:rsid w:val="00C34397"/>
    <w:rsid w:val="00C4095D"/>
    <w:rsid w:val="00C55780"/>
    <w:rsid w:val="00C5696F"/>
    <w:rsid w:val="00C601D2"/>
    <w:rsid w:val="00C65BCC"/>
    <w:rsid w:val="00C66970"/>
    <w:rsid w:val="00C712E3"/>
    <w:rsid w:val="00C8691C"/>
    <w:rsid w:val="00CA168A"/>
    <w:rsid w:val="00CA357E"/>
    <w:rsid w:val="00CA44F9"/>
    <w:rsid w:val="00CA4A69"/>
    <w:rsid w:val="00CB306D"/>
    <w:rsid w:val="00CC1FA1"/>
    <w:rsid w:val="00CC3E0C"/>
    <w:rsid w:val="00CC58D3"/>
    <w:rsid w:val="00CC784D"/>
    <w:rsid w:val="00D0337B"/>
    <w:rsid w:val="00D079B2"/>
    <w:rsid w:val="00D114E9"/>
    <w:rsid w:val="00D429C6"/>
    <w:rsid w:val="00D47748"/>
    <w:rsid w:val="00D54CC3"/>
    <w:rsid w:val="00D6041A"/>
    <w:rsid w:val="00D62552"/>
    <w:rsid w:val="00D633EB"/>
    <w:rsid w:val="00D82FF7"/>
    <w:rsid w:val="00D847FE"/>
    <w:rsid w:val="00D964EA"/>
    <w:rsid w:val="00D966D0"/>
    <w:rsid w:val="00DA0C59"/>
    <w:rsid w:val="00DA3991"/>
    <w:rsid w:val="00DB7E6C"/>
    <w:rsid w:val="00DC1EF7"/>
    <w:rsid w:val="00DD3511"/>
    <w:rsid w:val="00DD5A29"/>
    <w:rsid w:val="00DD5D9D"/>
    <w:rsid w:val="00DE35CB"/>
    <w:rsid w:val="00DF21E9"/>
    <w:rsid w:val="00E00F14"/>
    <w:rsid w:val="00E06386"/>
    <w:rsid w:val="00E13CB1"/>
    <w:rsid w:val="00E24EB4"/>
    <w:rsid w:val="00E26B98"/>
    <w:rsid w:val="00E320ED"/>
    <w:rsid w:val="00E33AFB"/>
    <w:rsid w:val="00E34218"/>
    <w:rsid w:val="00E46282"/>
    <w:rsid w:val="00E5216E"/>
    <w:rsid w:val="00E54F85"/>
    <w:rsid w:val="00E82344"/>
    <w:rsid w:val="00E84C82"/>
    <w:rsid w:val="00E84D64"/>
    <w:rsid w:val="00E87408"/>
    <w:rsid w:val="00E914C4"/>
    <w:rsid w:val="00E934F5"/>
    <w:rsid w:val="00E96961"/>
    <w:rsid w:val="00EA72EC"/>
    <w:rsid w:val="00EB11CB"/>
    <w:rsid w:val="00EB275A"/>
    <w:rsid w:val="00EB786A"/>
    <w:rsid w:val="00EC1578"/>
    <w:rsid w:val="00EC1C72"/>
    <w:rsid w:val="00EC3CC9"/>
    <w:rsid w:val="00EC680A"/>
    <w:rsid w:val="00EE2BED"/>
    <w:rsid w:val="00EE374B"/>
    <w:rsid w:val="00EF6F46"/>
    <w:rsid w:val="00F11BB5"/>
    <w:rsid w:val="00F1417B"/>
    <w:rsid w:val="00F22AD0"/>
    <w:rsid w:val="00F2671C"/>
    <w:rsid w:val="00F32450"/>
    <w:rsid w:val="00F34B99"/>
    <w:rsid w:val="00F42132"/>
    <w:rsid w:val="00F52DAB"/>
    <w:rsid w:val="00F543F0"/>
    <w:rsid w:val="00F561D5"/>
    <w:rsid w:val="00F81D29"/>
    <w:rsid w:val="00F91C4D"/>
    <w:rsid w:val="00F92FD9"/>
    <w:rsid w:val="00FA6684"/>
    <w:rsid w:val="00FA731E"/>
    <w:rsid w:val="00FB2B38"/>
    <w:rsid w:val="00FC6358"/>
    <w:rsid w:val="00FD0433"/>
    <w:rsid w:val="00FD320D"/>
    <w:rsid w:val="00FD5CCA"/>
    <w:rsid w:val="00FE1E19"/>
    <w:rsid w:val="00FE23DE"/>
    <w:rsid w:val="0107198C"/>
    <w:rsid w:val="0119011E"/>
    <w:rsid w:val="01B2769E"/>
    <w:rsid w:val="01BD694D"/>
    <w:rsid w:val="01EE3409"/>
    <w:rsid w:val="02497934"/>
    <w:rsid w:val="02500EED"/>
    <w:rsid w:val="02F67A66"/>
    <w:rsid w:val="03377EDA"/>
    <w:rsid w:val="03382362"/>
    <w:rsid w:val="04AE36C6"/>
    <w:rsid w:val="04B20804"/>
    <w:rsid w:val="04E27860"/>
    <w:rsid w:val="05082166"/>
    <w:rsid w:val="052908EA"/>
    <w:rsid w:val="05617A53"/>
    <w:rsid w:val="058506F0"/>
    <w:rsid w:val="05A67E5A"/>
    <w:rsid w:val="05AF7799"/>
    <w:rsid w:val="05D819CE"/>
    <w:rsid w:val="05E1599C"/>
    <w:rsid w:val="0622401A"/>
    <w:rsid w:val="062C1600"/>
    <w:rsid w:val="068C1515"/>
    <w:rsid w:val="06AA3247"/>
    <w:rsid w:val="06F1554B"/>
    <w:rsid w:val="075F5B60"/>
    <w:rsid w:val="07DB4622"/>
    <w:rsid w:val="08D73B4C"/>
    <w:rsid w:val="09366AB6"/>
    <w:rsid w:val="095A0BC7"/>
    <w:rsid w:val="09A632F6"/>
    <w:rsid w:val="0A223343"/>
    <w:rsid w:val="0A356BDA"/>
    <w:rsid w:val="0AA84324"/>
    <w:rsid w:val="0AAE2D4A"/>
    <w:rsid w:val="0ADE09B7"/>
    <w:rsid w:val="0B056E58"/>
    <w:rsid w:val="0B0B2C83"/>
    <w:rsid w:val="0B2B5250"/>
    <w:rsid w:val="0B334E83"/>
    <w:rsid w:val="0B5111B4"/>
    <w:rsid w:val="0B685D04"/>
    <w:rsid w:val="0BC51710"/>
    <w:rsid w:val="0BCA7A3C"/>
    <w:rsid w:val="0BF301D4"/>
    <w:rsid w:val="0BF61896"/>
    <w:rsid w:val="0C53631D"/>
    <w:rsid w:val="0D09626A"/>
    <w:rsid w:val="0D0C21E4"/>
    <w:rsid w:val="0D35465F"/>
    <w:rsid w:val="0D817409"/>
    <w:rsid w:val="0DDE4DFC"/>
    <w:rsid w:val="0DE0542F"/>
    <w:rsid w:val="0E2F6270"/>
    <w:rsid w:val="0E3F0BFC"/>
    <w:rsid w:val="0EAE472F"/>
    <w:rsid w:val="0EFC3A73"/>
    <w:rsid w:val="0F0F68AC"/>
    <w:rsid w:val="0F871065"/>
    <w:rsid w:val="0FE35738"/>
    <w:rsid w:val="0FE451C6"/>
    <w:rsid w:val="102615FA"/>
    <w:rsid w:val="109D37D1"/>
    <w:rsid w:val="10E476EF"/>
    <w:rsid w:val="11113260"/>
    <w:rsid w:val="117F517B"/>
    <w:rsid w:val="11FE3FF2"/>
    <w:rsid w:val="120C34DF"/>
    <w:rsid w:val="12B578D5"/>
    <w:rsid w:val="12CC3D00"/>
    <w:rsid w:val="1363057E"/>
    <w:rsid w:val="13932836"/>
    <w:rsid w:val="13E1362A"/>
    <w:rsid w:val="14100FC8"/>
    <w:rsid w:val="1490639F"/>
    <w:rsid w:val="152128BF"/>
    <w:rsid w:val="159527EE"/>
    <w:rsid w:val="15C2704D"/>
    <w:rsid w:val="15F14A1E"/>
    <w:rsid w:val="16762C01"/>
    <w:rsid w:val="16C502E8"/>
    <w:rsid w:val="16F61688"/>
    <w:rsid w:val="170D62F7"/>
    <w:rsid w:val="1842299D"/>
    <w:rsid w:val="184D2F01"/>
    <w:rsid w:val="18912BF5"/>
    <w:rsid w:val="189F18AA"/>
    <w:rsid w:val="18CA2E23"/>
    <w:rsid w:val="18EE430A"/>
    <w:rsid w:val="193626AA"/>
    <w:rsid w:val="197C24E4"/>
    <w:rsid w:val="19B226B5"/>
    <w:rsid w:val="19EB5878"/>
    <w:rsid w:val="1ADC1B7A"/>
    <w:rsid w:val="1B38345F"/>
    <w:rsid w:val="1B9B7999"/>
    <w:rsid w:val="1BE465F3"/>
    <w:rsid w:val="1C2248A8"/>
    <w:rsid w:val="1C3D4EA2"/>
    <w:rsid w:val="1CB430AB"/>
    <w:rsid w:val="1CC43350"/>
    <w:rsid w:val="1CDB1B6B"/>
    <w:rsid w:val="1D741EF0"/>
    <w:rsid w:val="1DB35319"/>
    <w:rsid w:val="1DC9015B"/>
    <w:rsid w:val="1DD3477F"/>
    <w:rsid w:val="1DDE6398"/>
    <w:rsid w:val="1DF44904"/>
    <w:rsid w:val="1E492CFF"/>
    <w:rsid w:val="1E7E6F4E"/>
    <w:rsid w:val="1EF0622D"/>
    <w:rsid w:val="1F4A6F67"/>
    <w:rsid w:val="1F641FF0"/>
    <w:rsid w:val="202856D6"/>
    <w:rsid w:val="20492E5C"/>
    <w:rsid w:val="205D712E"/>
    <w:rsid w:val="208E1D2B"/>
    <w:rsid w:val="211C2F7F"/>
    <w:rsid w:val="21703A9F"/>
    <w:rsid w:val="219443DB"/>
    <w:rsid w:val="21B3112E"/>
    <w:rsid w:val="21F62490"/>
    <w:rsid w:val="22381E53"/>
    <w:rsid w:val="224F5CD9"/>
    <w:rsid w:val="226959F6"/>
    <w:rsid w:val="229A6C86"/>
    <w:rsid w:val="22D2709D"/>
    <w:rsid w:val="23666590"/>
    <w:rsid w:val="238962D9"/>
    <w:rsid w:val="23BD6E24"/>
    <w:rsid w:val="23D01185"/>
    <w:rsid w:val="23D2340B"/>
    <w:rsid w:val="24295D8A"/>
    <w:rsid w:val="244925FE"/>
    <w:rsid w:val="248509BB"/>
    <w:rsid w:val="2658112A"/>
    <w:rsid w:val="2662311D"/>
    <w:rsid w:val="2671650A"/>
    <w:rsid w:val="268C4CE0"/>
    <w:rsid w:val="268C7C14"/>
    <w:rsid w:val="269400A0"/>
    <w:rsid w:val="269F2C43"/>
    <w:rsid w:val="26A520E0"/>
    <w:rsid w:val="26B85C6B"/>
    <w:rsid w:val="27061594"/>
    <w:rsid w:val="27446B4C"/>
    <w:rsid w:val="27A648FE"/>
    <w:rsid w:val="27F93395"/>
    <w:rsid w:val="27FF55D7"/>
    <w:rsid w:val="281D1157"/>
    <w:rsid w:val="287B17A9"/>
    <w:rsid w:val="28BF1D18"/>
    <w:rsid w:val="28C11809"/>
    <w:rsid w:val="28CC6D15"/>
    <w:rsid w:val="28D128DF"/>
    <w:rsid w:val="291E6908"/>
    <w:rsid w:val="2935622E"/>
    <w:rsid w:val="295C2EE4"/>
    <w:rsid w:val="2977464A"/>
    <w:rsid w:val="2A9A7665"/>
    <w:rsid w:val="2AB00DD1"/>
    <w:rsid w:val="2B015633"/>
    <w:rsid w:val="2C2308C2"/>
    <w:rsid w:val="2C2B2795"/>
    <w:rsid w:val="2C62024D"/>
    <w:rsid w:val="2C8B6914"/>
    <w:rsid w:val="2CE47FFF"/>
    <w:rsid w:val="2CF86322"/>
    <w:rsid w:val="2D254ED1"/>
    <w:rsid w:val="2D5B1E3F"/>
    <w:rsid w:val="2D674A04"/>
    <w:rsid w:val="2D7D7F0E"/>
    <w:rsid w:val="2D884CCB"/>
    <w:rsid w:val="2D892B48"/>
    <w:rsid w:val="2DC520F2"/>
    <w:rsid w:val="2EAF4FDC"/>
    <w:rsid w:val="2EB61184"/>
    <w:rsid w:val="2F224FD8"/>
    <w:rsid w:val="2FBB4D72"/>
    <w:rsid w:val="2FDC7C31"/>
    <w:rsid w:val="2FED6943"/>
    <w:rsid w:val="301C73F6"/>
    <w:rsid w:val="30772D1F"/>
    <w:rsid w:val="30D6764C"/>
    <w:rsid w:val="3106000C"/>
    <w:rsid w:val="310C3EE4"/>
    <w:rsid w:val="31440497"/>
    <w:rsid w:val="314A24D4"/>
    <w:rsid w:val="3255431D"/>
    <w:rsid w:val="33527529"/>
    <w:rsid w:val="338D01F3"/>
    <w:rsid w:val="33D253CA"/>
    <w:rsid w:val="34220C94"/>
    <w:rsid w:val="34437D4E"/>
    <w:rsid w:val="34897E13"/>
    <w:rsid w:val="3525105F"/>
    <w:rsid w:val="35383B11"/>
    <w:rsid w:val="35535F9C"/>
    <w:rsid w:val="3565535C"/>
    <w:rsid w:val="35B3231E"/>
    <w:rsid w:val="35F96C27"/>
    <w:rsid w:val="3617590E"/>
    <w:rsid w:val="36DF28D1"/>
    <w:rsid w:val="37E414E8"/>
    <w:rsid w:val="38B54973"/>
    <w:rsid w:val="39090EB7"/>
    <w:rsid w:val="393102B6"/>
    <w:rsid w:val="39A450F9"/>
    <w:rsid w:val="39B24E49"/>
    <w:rsid w:val="3A0A3104"/>
    <w:rsid w:val="3A427FC6"/>
    <w:rsid w:val="3A694AF8"/>
    <w:rsid w:val="3B1D079C"/>
    <w:rsid w:val="3B282069"/>
    <w:rsid w:val="3B7420E5"/>
    <w:rsid w:val="3B8A6AD4"/>
    <w:rsid w:val="3C966EAB"/>
    <w:rsid w:val="3D702255"/>
    <w:rsid w:val="3DE2249B"/>
    <w:rsid w:val="3E340FED"/>
    <w:rsid w:val="3E764254"/>
    <w:rsid w:val="3E7C5AB0"/>
    <w:rsid w:val="3EE04E9F"/>
    <w:rsid w:val="3F3D6247"/>
    <w:rsid w:val="3F5D7BA0"/>
    <w:rsid w:val="3FC37664"/>
    <w:rsid w:val="3FD664BA"/>
    <w:rsid w:val="3FE61452"/>
    <w:rsid w:val="3FED70AC"/>
    <w:rsid w:val="40480C99"/>
    <w:rsid w:val="40564BE3"/>
    <w:rsid w:val="40614360"/>
    <w:rsid w:val="40773CBB"/>
    <w:rsid w:val="409F2438"/>
    <w:rsid w:val="40BE5516"/>
    <w:rsid w:val="415645CA"/>
    <w:rsid w:val="41905F1E"/>
    <w:rsid w:val="41FC3FE1"/>
    <w:rsid w:val="425B6BFD"/>
    <w:rsid w:val="426B664E"/>
    <w:rsid w:val="428D6466"/>
    <w:rsid w:val="42D1680C"/>
    <w:rsid w:val="430B0153"/>
    <w:rsid w:val="43486D9B"/>
    <w:rsid w:val="43496AA4"/>
    <w:rsid w:val="436523D7"/>
    <w:rsid w:val="43755E24"/>
    <w:rsid w:val="4382517B"/>
    <w:rsid w:val="43870EA7"/>
    <w:rsid w:val="439C4F91"/>
    <w:rsid w:val="43B1679B"/>
    <w:rsid w:val="43E770B7"/>
    <w:rsid w:val="44092AD7"/>
    <w:rsid w:val="44153F1E"/>
    <w:rsid w:val="441B1A81"/>
    <w:rsid w:val="443C2A39"/>
    <w:rsid w:val="44436A69"/>
    <w:rsid w:val="44A621E4"/>
    <w:rsid w:val="44DE5CBF"/>
    <w:rsid w:val="45587411"/>
    <w:rsid w:val="45691F3C"/>
    <w:rsid w:val="461B0BA3"/>
    <w:rsid w:val="464F30CE"/>
    <w:rsid w:val="468117BB"/>
    <w:rsid w:val="4698773F"/>
    <w:rsid w:val="46A22DBE"/>
    <w:rsid w:val="46B978DA"/>
    <w:rsid w:val="46C62C73"/>
    <w:rsid w:val="46DE14F2"/>
    <w:rsid w:val="46E6264F"/>
    <w:rsid w:val="46F2329E"/>
    <w:rsid w:val="471254A7"/>
    <w:rsid w:val="474F1B39"/>
    <w:rsid w:val="475D04C3"/>
    <w:rsid w:val="47BD3F98"/>
    <w:rsid w:val="47D26402"/>
    <w:rsid w:val="47D94339"/>
    <w:rsid w:val="47FC4E7E"/>
    <w:rsid w:val="482D384A"/>
    <w:rsid w:val="485D1D44"/>
    <w:rsid w:val="48971F3D"/>
    <w:rsid w:val="48F54A20"/>
    <w:rsid w:val="496905FC"/>
    <w:rsid w:val="49BD74A6"/>
    <w:rsid w:val="49C66532"/>
    <w:rsid w:val="49CD34A8"/>
    <w:rsid w:val="4AB00677"/>
    <w:rsid w:val="4AC966EF"/>
    <w:rsid w:val="4AF733DE"/>
    <w:rsid w:val="4B9602ED"/>
    <w:rsid w:val="4BE85FA9"/>
    <w:rsid w:val="4BF30187"/>
    <w:rsid w:val="4C031340"/>
    <w:rsid w:val="4C2F72E9"/>
    <w:rsid w:val="4CD11D84"/>
    <w:rsid w:val="4CF110C3"/>
    <w:rsid w:val="4CFD7892"/>
    <w:rsid w:val="4D111E3E"/>
    <w:rsid w:val="4D412E32"/>
    <w:rsid w:val="4D9A5BDA"/>
    <w:rsid w:val="4DCD6681"/>
    <w:rsid w:val="4E0817E2"/>
    <w:rsid w:val="4E3F2E62"/>
    <w:rsid w:val="4E5F6741"/>
    <w:rsid w:val="4E8D59CE"/>
    <w:rsid w:val="4F303251"/>
    <w:rsid w:val="4FA7026B"/>
    <w:rsid w:val="4FB85A78"/>
    <w:rsid w:val="4FE96D37"/>
    <w:rsid w:val="5010644F"/>
    <w:rsid w:val="50213706"/>
    <w:rsid w:val="50392DEB"/>
    <w:rsid w:val="50420FCA"/>
    <w:rsid w:val="506F3655"/>
    <w:rsid w:val="50CC1595"/>
    <w:rsid w:val="51893F11"/>
    <w:rsid w:val="51A2193D"/>
    <w:rsid w:val="53092513"/>
    <w:rsid w:val="53771725"/>
    <w:rsid w:val="537A2404"/>
    <w:rsid w:val="53B7153C"/>
    <w:rsid w:val="54120CCE"/>
    <w:rsid w:val="54561886"/>
    <w:rsid w:val="5474493A"/>
    <w:rsid w:val="54935EB6"/>
    <w:rsid w:val="54AF39CE"/>
    <w:rsid w:val="54C22395"/>
    <w:rsid w:val="54D43E83"/>
    <w:rsid w:val="5550196F"/>
    <w:rsid w:val="55576595"/>
    <w:rsid w:val="55D66CE0"/>
    <w:rsid w:val="55DB4DC1"/>
    <w:rsid w:val="55ED191B"/>
    <w:rsid w:val="560736F5"/>
    <w:rsid w:val="56703AA0"/>
    <w:rsid w:val="570C5B1B"/>
    <w:rsid w:val="571019BA"/>
    <w:rsid w:val="57B16A0D"/>
    <w:rsid w:val="57DE1C08"/>
    <w:rsid w:val="582120F3"/>
    <w:rsid w:val="5824165A"/>
    <w:rsid w:val="582E3334"/>
    <w:rsid w:val="58525612"/>
    <w:rsid w:val="58587899"/>
    <w:rsid w:val="58BC07E1"/>
    <w:rsid w:val="59E742AB"/>
    <w:rsid w:val="59FF6D39"/>
    <w:rsid w:val="5A602E7E"/>
    <w:rsid w:val="5A73621A"/>
    <w:rsid w:val="5B4F0550"/>
    <w:rsid w:val="5B78144E"/>
    <w:rsid w:val="5BDD435D"/>
    <w:rsid w:val="5C7554AC"/>
    <w:rsid w:val="5CA32593"/>
    <w:rsid w:val="5CB53894"/>
    <w:rsid w:val="5D690864"/>
    <w:rsid w:val="5D931A95"/>
    <w:rsid w:val="5E4D4F41"/>
    <w:rsid w:val="5EA9750A"/>
    <w:rsid w:val="5EB57EDB"/>
    <w:rsid w:val="5EE4DC16"/>
    <w:rsid w:val="5EEC16ED"/>
    <w:rsid w:val="5EF42C54"/>
    <w:rsid w:val="5F1E0AD8"/>
    <w:rsid w:val="60576B01"/>
    <w:rsid w:val="60726260"/>
    <w:rsid w:val="60F4640A"/>
    <w:rsid w:val="614D19BA"/>
    <w:rsid w:val="61742B30"/>
    <w:rsid w:val="61FA6800"/>
    <w:rsid w:val="622B103C"/>
    <w:rsid w:val="62A747FD"/>
    <w:rsid w:val="62B077D3"/>
    <w:rsid w:val="62EF65B3"/>
    <w:rsid w:val="632409BC"/>
    <w:rsid w:val="632D419C"/>
    <w:rsid w:val="63337BD6"/>
    <w:rsid w:val="638359EF"/>
    <w:rsid w:val="64102DEE"/>
    <w:rsid w:val="643B2A2D"/>
    <w:rsid w:val="64783352"/>
    <w:rsid w:val="64A4300E"/>
    <w:rsid w:val="64F50A27"/>
    <w:rsid w:val="65020353"/>
    <w:rsid w:val="652304DB"/>
    <w:rsid w:val="65637CC5"/>
    <w:rsid w:val="65C35D9C"/>
    <w:rsid w:val="65D05117"/>
    <w:rsid w:val="65D91B2F"/>
    <w:rsid w:val="66104080"/>
    <w:rsid w:val="66B4643E"/>
    <w:rsid w:val="66B95B85"/>
    <w:rsid w:val="66C816BC"/>
    <w:rsid w:val="66D822BA"/>
    <w:rsid w:val="66EE545C"/>
    <w:rsid w:val="671C7903"/>
    <w:rsid w:val="67A54E5D"/>
    <w:rsid w:val="67B34B6A"/>
    <w:rsid w:val="67BC6783"/>
    <w:rsid w:val="67F75096"/>
    <w:rsid w:val="680372D7"/>
    <w:rsid w:val="68223FA8"/>
    <w:rsid w:val="6832688F"/>
    <w:rsid w:val="68494EF1"/>
    <w:rsid w:val="68B624D0"/>
    <w:rsid w:val="68D51020"/>
    <w:rsid w:val="69705CDE"/>
    <w:rsid w:val="69BE141F"/>
    <w:rsid w:val="69EC29B3"/>
    <w:rsid w:val="69FD6804"/>
    <w:rsid w:val="6A2A3E97"/>
    <w:rsid w:val="6AFE57C0"/>
    <w:rsid w:val="6B1965D1"/>
    <w:rsid w:val="6B295DA7"/>
    <w:rsid w:val="6B2B66FC"/>
    <w:rsid w:val="6B2D68AC"/>
    <w:rsid w:val="6B770D36"/>
    <w:rsid w:val="6C48038B"/>
    <w:rsid w:val="6C62721F"/>
    <w:rsid w:val="6D210070"/>
    <w:rsid w:val="6D307B32"/>
    <w:rsid w:val="6D451733"/>
    <w:rsid w:val="6D46098F"/>
    <w:rsid w:val="6D6A1766"/>
    <w:rsid w:val="6DF434D1"/>
    <w:rsid w:val="6E040E74"/>
    <w:rsid w:val="6EC81D9C"/>
    <w:rsid w:val="6ED91B64"/>
    <w:rsid w:val="6EF2714F"/>
    <w:rsid w:val="7004383B"/>
    <w:rsid w:val="700C20F6"/>
    <w:rsid w:val="70435004"/>
    <w:rsid w:val="70725C96"/>
    <w:rsid w:val="71610DC9"/>
    <w:rsid w:val="71901882"/>
    <w:rsid w:val="71991FAC"/>
    <w:rsid w:val="72194B0C"/>
    <w:rsid w:val="72293B16"/>
    <w:rsid w:val="7280086B"/>
    <w:rsid w:val="72AF2B40"/>
    <w:rsid w:val="731371AB"/>
    <w:rsid w:val="73167756"/>
    <w:rsid w:val="733E3311"/>
    <w:rsid w:val="73A0293E"/>
    <w:rsid w:val="741115BB"/>
    <w:rsid w:val="741D2E22"/>
    <w:rsid w:val="742623E0"/>
    <w:rsid w:val="7444473B"/>
    <w:rsid w:val="74DB79FB"/>
    <w:rsid w:val="75E50ED2"/>
    <w:rsid w:val="76092DC8"/>
    <w:rsid w:val="762526E7"/>
    <w:rsid w:val="76305216"/>
    <w:rsid w:val="76382F59"/>
    <w:rsid w:val="763B5F1E"/>
    <w:rsid w:val="76486048"/>
    <w:rsid w:val="764B0EC2"/>
    <w:rsid w:val="766E5AFA"/>
    <w:rsid w:val="771A574F"/>
    <w:rsid w:val="771C5585"/>
    <w:rsid w:val="771F6082"/>
    <w:rsid w:val="775B039F"/>
    <w:rsid w:val="77636375"/>
    <w:rsid w:val="77A2059D"/>
    <w:rsid w:val="77AA4541"/>
    <w:rsid w:val="77B0082A"/>
    <w:rsid w:val="78A34744"/>
    <w:rsid w:val="791C1E29"/>
    <w:rsid w:val="792802E8"/>
    <w:rsid w:val="796B12FB"/>
    <w:rsid w:val="799E4790"/>
    <w:rsid w:val="7A080B2F"/>
    <w:rsid w:val="7A31620F"/>
    <w:rsid w:val="7A335876"/>
    <w:rsid w:val="7A5049F4"/>
    <w:rsid w:val="7A7D3621"/>
    <w:rsid w:val="7AA61AA8"/>
    <w:rsid w:val="7AC87928"/>
    <w:rsid w:val="7ADE0A68"/>
    <w:rsid w:val="7B482C5E"/>
    <w:rsid w:val="7C866F5A"/>
    <w:rsid w:val="7D0F40AC"/>
    <w:rsid w:val="7D275ABC"/>
    <w:rsid w:val="7D7D28BF"/>
    <w:rsid w:val="7E1403C6"/>
    <w:rsid w:val="7E375396"/>
    <w:rsid w:val="7E490A22"/>
    <w:rsid w:val="7E71210B"/>
    <w:rsid w:val="7EB616EC"/>
    <w:rsid w:val="BB9E58E4"/>
    <w:rsid w:val="BD6DD729"/>
    <w:rsid w:val="FCDFF82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4"/>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paragraph" w:styleId="5">
    <w:name w:val="heading 4"/>
    <w:basedOn w:val="1"/>
    <w:next w:val="1"/>
    <w:qFormat/>
    <w:uiPriority w:val="99"/>
    <w:pPr>
      <w:widowControl/>
      <w:spacing w:before="100" w:beforeAutospacing="1" w:after="100" w:afterAutospacing="1"/>
      <w:jc w:val="left"/>
      <w:outlineLvl w:val="3"/>
    </w:pPr>
    <w:rPr>
      <w:rFonts w:ascii="宋体" w:hAnsi="宋体" w:cs="宋体"/>
      <w:b/>
      <w:bCs/>
      <w:kern w:val="0"/>
      <w:sz w:val="24"/>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Calibri" w:hAnsi="Calibri" w:eastAsia="宋体" w:cs="Calibri"/>
    </w:rPr>
  </w:style>
  <w:style w:type="paragraph" w:styleId="4">
    <w:name w:val="toa heading"/>
    <w:basedOn w:val="1"/>
    <w:next w:val="1"/>
    <w:qFormat/>
    <w:uiPriority w:val="0"/>
    <w:rPr>
      <w:rFonts w:ascii="Arial" w:hAnsi="Arial" w:eastAsia="宋体" w:cs="Times New Roman"/>
      <w:sz w:val="24"/>
    </w:rPr>
  </w:style>
  <w:style w:type="paragraph" w:styleId="6">
    <w:name w:val="toc 7"/>
    <w:basedOn w:val="1"/>
    <w:next w:val="1"/>
    <w:semiHidden/>
    <w:qFormat/>
    <w:uiPriority w:val="0"/>
    <w:pPr>
      <w:tabs>
        <w:tab w:val="right" w:leader="dot" w:pos="9241"/>
      </w:tabs>
      <w:ind w:firstLine="505" w:firstLineChars="500"/>
      <w:jc w:val="left"/>
    </w:pPr>
    <w:rPr>
      <w:rFonts w:ascii="宋体" w:hAnsi="Times New Roman" w:eastAsia="宋体" w:cs="Times New Roman"/>
      <w:szCs w:val="21"/>
    </w:rPr>
  </w:style>
  <w:style w:type="paragraph" w:styleId="7">
    <w:name w:val="index 8"/>
    <w:basedOn w:val="1"/>
    <w:next w:val="1"/>
    <w:qFormat/>
    <w:uiPriority w:val="0"/>
    <w:pPr>
      <w:ind w:left="1680" w:hanging="210"/>
      <w:jc w:val="left"/>
    </w:pPr>
    <w:rPr>
      <w:rFonts w:ascii="Calibri" w:hAnsi="Calibri" w:eastAsia="宋体" w:cs="Times New Roman"/>
      <w:sz w:val="20"/>
      <w:szCs w:val="20"/>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index 5"/>
    <w:basedOn w:val="1"/>
    <w:next w:val="1"/>
    <w:qFormat/>
    <w:uiPriority w:val="0"/>
    <w:pPr>
      <w:ind w:left="1050" w:hanging="210"/>
      <w:jc w:val="left"/>
    </w:pPr>
    <w:rPr>
      <w:rFonts w:ascii="Calibri" w:hAnsi="Calibri" w:eastAsia="宋体" w:cs="Times New Roman"/>
      <w:sz w:val="20"/>
      <w:szCs w:val="20"/>
    </w:rPr>
  </w:style>
  <w:style w:type="paragraph" w:styleId="10">
    <w:name w:val="Document Map"/>
    <w:basedOn w:val="1"/>
    <w:semiHidden/>
    <w:qFormat/>
    <w:uiPriority w:val="0"/>
    <w:pPr>
      <w:shd w:val="clear" w:color="auto" w:fill="000080"/>
    </w:pPr>
    <w:rPr>
      <w:rFonts w:ascii="Times New Roman" w:hAnsi="Times New Roman" w:eastAsia="宋体" w:cs="Times New Roman"/>
    </w:rPr>
  </w:style>
  <w:style w:type="paragraph" w:styleId="11">
    <w:name w:val="annotation text"/>
    <w:basedOn w:val="1"/>
    <w:qFormat/>
    <w:uiPriority w:val="0"/>
    <w:pPr>
      <w:jc w:val="left"/>
    </w:pPr>
    <w:rPr>
      <w:rFonts w:ascii="Times New Roman" w:hAnsi="Times New Roman" w:eastAsia="宋体" w:cs="Times New Roman"/>
    </w:rPr>
  </w:style>
  <w:style w:type="paragraph" w:styleId="12">
    <w:name w:val="index 6"/>
    <w:basedOn w:val="1"/>
    <w:next w:val="1"/>
    <w:qFormat/>
    <w:uiPriority w:val="0"/>
    <w:pPr>
      <w:ind w:left="1260" w:hanging="210"/>
      <w:jc w:val="left"/>
    </w:pPr>
    <w:rPr>
      <w:rFonts w:ascii="Calibri" w:hAnsi="Calibri" w:eastAsia="宋体" w:cs="Times New Roman"/>
      <w:sz w:val="20"/>
      <w:szCs w:val="20"/>
    </w:rPr>
  </w:style>
  <w:style w:type="paragraph" w:styleId="13">
    <w:name w:val="Body Text"/>
    <w:basedOn w:val="1"/>
    <w:link w:val="140"/>
    <w:qFormat/>
    <w:uiPriority w:val="0"/>
    <w:pPr>
      <w:spacing w:after="120"/>
    </w:pPr>
    <w:rPr>
      <w:rFonts w:ascii="Times New Roman" w:hAnsi="Times New Roman" w:eastAsia="宋体" w:cs="Times New Roman"/>
    </w:rPr>
  </w:style>
  <w:style w:type="paragraph" w:styleId="14">
    <w:name w:val="index 4"/>
    <w:basedOn w:val="1"/>
    <w:next w:val="1"/>
    <w:qFormat/>
    <w:uiPriority w:val="0"/>
    <w:pPr>
      <w:ind w:left="840" w:hanging="210"/>
      <w:jc w:val="left"/>
    </w:pPr>
    <w:rPr>
      <w:rFonts w:ascii="Calibri" w:hAnsi="Calibri" w:eastAsia="宋体" w:cs="Times New Roman"/>
      <w:sz w:val="20"/>
      <w:szCs w:val="20"/>
    </w:rPr>
  </w:style>
  <w:style w:type="paragraph" w:styleId="15">
    <w:name w:val="toc 5"/>
    <w:basedOn w:val="1"/>
    <w:next w:val="1"/>
    <w:semiHidden/>
    <w:qFormat/>
    <w:uiPriority w:val="0"/>
    <w:pPr>
      <w:tabs>
        <w:tab w:val="right" w:leader="dot" w:pos="9241"/>
      </w:tabs>
      <w:ind w:firstLine="300" w:firstLineChars="300"/>
      <w:jc w:val="left"/>
    </w:pPr>
    <w:rPr>
      <w:rFonts w:ascii="宋体" w:hAnsi="Times New Roman" w:eastAsia="宋体" w:cs="Times New Roman"/>
      <w:szCs w:val="21"/>
    </w:rPr>
  </w:style>
  <w:style w:type="paragraph" w:styleId="16">
    <w:name w:val="toc 3"/>
    <w:basedOn w:val="1"/>
    <w:next w:val="1"/>
    <w:semiHidden/>
    <w:qFormat/>
    <w:uiPriority w:val="0"/>
    <w:pPr>
      <w:tabs>
        <w:tab w:val="right" w:leader="dot" w:pos="9241"/>
      </w:tabs>
      <w:ind w:firstLine="102" w:firstLineChars="100"/>
      <w:jc w:val="left"/>
    </w:pPr>
    <w:rPr>
      <w:rFonts w:ascii="宋体" w:hAnsi="Times New Roman" w:eastAsia="宋体" w:cs="Times New Roman"/>
      <w:szCs w:val="21"/>
    </w:rPr>
  </w:style>
  <w:style w:type="paragraph" w:styleId="17">
    <w:name w:val="toc 8"/>
    <w:basedOn w:val="1"/>
    <w:next w:val="1"/>
    <w:semiHidden/>
    <w:qFormat/>
    <w:uiPriority w:val="0"/>
    <w:pPr>
      <w:tabs>
        <w:tab w:val="right" w:leader="dot" w:pos="9241"/>
      </w:tabs>
      <w:ind w:firstLine="607" w:firstLineChars="600"/>
      <w:jc w:val="left"/>
    </w:pPr>
    <w:rPr>
      <w:rFonts w:ascii="宋体" w:hAnsi="Times New Roman" w:eastAsia="宋体" w:cs="Times New Roman"/>
      <w:szCs w:val="21"/>
    </w:rPr>
  </w:style>
  <w:style w:type="paragraph" w:styleId="18">
    <w:name w:val="index 3"/>
    <w:basedOn w:val="1"/>
    <w:next w:val="1"/>
    <w:qFormat/>
    <w:uiPriority w:val="0"/>
    <w:pPr>
      <w:ind w:left="630" w:hanging="210"/>
      <w:jc w:val="left"/>
    </w:pPr>
    <w:rPr>
      <w:rFonts w:ascii="Calibri" w:hAnsi="Calibri" w:eastAsia="宋体" w:cs="Times New Roman"/>
      <w:sz w:val="20"/>
      <w:szCs w:val="20"/>
    </w:rPr>
  </w:style>
  <w:style w:type="paragraph" w:styleId="19">
    <w:name w:val="endnote text"/>
    <w:basedOn w:val="1"/>
    <w:semiHidden/>
    <w:qFormat/>
    <w:uiPriority w:val="0"/>
    <w:pPr>
      <w:snapToGrid w:val="0"/>
      <w:jc w:val="left"/>
    </w:pPr>
    <w:rPr>
      <w:rFonts w:ascii="Times New Roman" w:hAnsi="Times New Roman" w:eastAsia="宋体" w:cs="Times New Roman"/>
    </w:rPr>
  </w:style>
  <w:style w:type="paragraph" w:styleId="20">
    <w:name w:val="Balloon Text"/>
    <w:basedOn w:val="1"/>
    <w:link w:val="145"/>
    <w:qFormat/>
    <w:uiPriority w:val="0"/>
    <w:rPr>
      <w:rFonts w:ascii="Times New Roman" w:hAnsi="Times New Roman" w:eastAsia="宋体" w:cs="Times New Roman"/>
      <w:sz w:val="18"/>
      <w:szCs w:val="18"/>
    </w:rPr>
  </w:style>
  <w:style w:type="paragraph" w:styleId="21">
    <w:name w:val="footer"/>
    <w:basedOn w:val="1"/>
    <w:link w:val="146"/>
    <w:qFormat/>
    <w:uiPriority w:val="99"/>
    <w:pPr>
      <w:snapToGrid w:val="0"/>
      <w:ind w:right="210" w:rightChars="100"/>
      <w:jc w:val="right"/>
    </w:pPr>
    <w:rPr>
      <w:rFonts w:ascii="Times New Roman" w:hAnsi="Times New Roman" w:eastAsia="宋体" w:cs="Times New Roman"/>
      <w:sz w:val="18"/>
      <w:szCs w:val="18"/>
    </w:rPr>
  </w:style>
  <w:style w:type="paragraph" w:styleId="22">
    <w:name w:val="header"/>
    <w:basedOn w:val="1"/>
    <w:qFormat/>
    <w:uiPriority w:val="0"/>
    <w:pPr>
      <w:snapToGrid w:val="0"/>
      <w:jc w:val="left"/>
    </w:pPr>
    <w:rPr>
      <w:rFonts w:ascii="Times New Roman" w:hAnsi="Times New Roman" w:eastAsia="宋体" w:cs="Times New Roman"/>
      <w:sz w:val="18"/>
      <w:szCs w:val="18"/>
    </w:rPr>
  </w:style>
  <w:style w:type="paragraph" w:styleId="23">
    <w:name w:val="toc 1"/>
    <w:basedOn w:val="1"/>
    <w:next w:val="1"/>
    <w:qFormat/>
    <w:uiPriority w:val="39"/>
    <w:pPr>
      <w:tabs>
        <w:tab w:val="right" w:leader="dot" w:pos="9241"/>
      </w:tabs>
      <w:spacing w:beforeLines="25" w:afterLines="25"/>
      <w:jc w:val="left"/>
    </w:pPr>
    <w:rPr>
      <w:rFonts w:ascii="宋体" w:hAnsi="Times New Roman" w:eastAsia="宋体" w:cs="Times New Roman"/>
      <w:szCs w:val="21"/>
    </w:rPr>
  </w:style>
  <w:style w:type="paragraph" w:styleId="24">
    <w:name w:val="toc 4"/>
    <w:basedOn w:val="1"/>
    <w:next w:val="1"/>
    <w:semiHidden/>
    <w:qFormat/>
    <w:uiPriority w:val="0"/>
    <w:pPr>
      <w:tabs>
        <w:tab w:val="right" w:leader="dot" w:pos="9241"/>
      </w:tabs>
      <w:ind w:firstLine="198" w:firstLineChars="200"/>
      <w:jc w:val="left"/>
    </w:pPr>
    <w:rPr>
      <w:rFonts w:ascii="宋体" w:hAnsi="Times New Roman" w:eastAsia="宋体" w:cs="Times New Roman"/>
      <w:szCs w:val="21"/>
    </w:rPr>
  </w:style>
  <w:style w:type="paragraph" w:styleId="25">
    <w:name w:val="index heading"/>
    <w:basedOn w:val="1"/>
    <w:next w:val="26"/>
    <w:qFormat/>
    <w:uiPriority w:val="0"/>
    <w:pPr>
      <w:spacing w:before="120" w:after="120"/>
      <w:jc w:val="center"/>
    </w:pPr>
    <w:rPr>
      <w:rFonts w:ascii="Calibri" w:hAnsi="Calibri" w:eastAsia="宋体" w:cs="Times New Roman"/>
      <w:b/>
      <w:bCs/>
      <w:iCs/>
      <w:szCs w:val="20"/>
    </w:rPr>
  </w:style>
  <w:style w:type="paragraph" w:styleId="26">
    <w:name w:val="index 1"/>
    <w:basedOn w:val="1"/>
    <w:next w:val="27"/>
    <w:qFormat/>
    <w:uiPriority w:val="0"/>
    <w:pPr>
      <w:tabs>
        <w:tab w:val="right" w:leader="dot" w:pos="9299"/>
      </w:tabs>
      <w:jc w:val="left"/>
    </w:pPr>
    <w:rPr>
      <w:rFonts w:ascii="宋体" w:hAnsi="Times New Roman" w:eastAsia="宋体" w:cs="Times New Roman"/>
      <w:szCs w:val="21"/>
    </w:rPr>
  </w:style>
  <w:style w:type="paragraph" w:customStyle="1" w:styleId="27">
    <w:name w:val="段"/>
    <w:link w:val="14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8">
    <w:name w:val="footnote text"/>
    <w:basedOn w:val="1"/>
    <w:qFormat/>
    <w:uiPriority w:val="0"/>
    <w:pPr>
      <w:numPr>
        <w:ilvl w:val="0"/>
        <w:numId w:val="1"/>
      </w:numPr>
      <w:snapToGrid w:val="0"/>
      <w:jc w:val="left"/>
    </w:pPr>
    <w:rPr>
      <w:rFonts w:ascii="宋体" w:hAnsi="Times New Roman" w:eastAsia="宋体" w:cs="Times New Roman"/>
      <w:sz w:val="18"/>
      <w:szCs w:val="18"/>
    </w:rPr>
  </w:style>
  <w:style w:type="paragraph" w:styleId="29">
    <w:name w:val="toc 6"/>
    <w:basedOn w:val="1"/>
    <w:next w:val="1"/>
    <w:semiHidden/>
    <w:qFormat/>
    <w:uiPriority w:val="0"/>
    <w:pPr>
      <w:tabs>
        <w:tab w:val="right" w:leader="dot" w:pos="9241"/>
      </w:tabs>
      <w:ind w:firstLine="403" w:firstLineChars="400"/>
      <w:jc w:val="left"/>
    </w:pPr>
    <w:rPr>
      <w:rFonts w:ascii="宋体" w:hAnsi="Times New Roman" w:eastAsia="宋体" w:cs="Times New Roman"/>
      <w:szCs w:val="21"/>
    </w:rPr>
  </w:style>
  <w:style w:type="paragraph" w:styleId="30">
    <w:name w:val="index 7"/>
    <w:basedOn w:val="1"/>
    <w:next w:val="1"/>
    <w:qFormat/>
    <w:uiPriority w:val="0"/>
    <w:pPr>
      <w:ind w:left="1470" w:hanging="210"/>
      <w:jc w:val="left"/>
    </w:pPr>
    <w:rPr>
      <w:rFonts w:ascii="Calibri" w:hAnsi="Calibri" w:eastAsia="宋体" w:cs="Times New Roman"/>
      <w:sz w:val="20"/>
      <w:szCs w:val="20"/>
    </w:rPr>
  </w:style>
  <w:style w:type="paragraph" w:styleId="31">
    <w:name w:val="index 9"/>
    <w:basedOn w:val="1"/>
    <w:next w:val="1"/>
    <w:qFormat/>
    <w:uiPriority w:val="0"/>
    <w:pPr>
      <w:ind w:left="1890" w:hanging="210"/>
      <w:jc w:val="left"/>
    </w:pPr>
    <w:rPr>
      <w:rFonts w:ascii="Calibri" w:hAnsi="Calibri" w:eastAsia="宋体" w:cs="Times New Roman"/>
      <w:sz w:val="20"/>
      <w:szCs w:val="20"/>
    </w:rPr>
  </w:style>
  <w:style w:type="paragraph" w:styleId="32">
    <w:name w:val="toc 2"/>
    <w:basedOn w:val="1"/>
    <w:next w:val="1"/>
    <w:semiHidden/>
    <w:qFormat/>
    <w:uiPriority w:val="0"/>
    <w:pPr>
      <w:tabs>
        <w:tab w:val="right" w:leader="dot" w:pos="9241"/>
      </w:tabs>
    </w:pPr>
    <w:rPr>
      <w:rFonts w:ascii="宋体" w:hAnsi="Times New Roman" w:eastAsia="宋体" w:cs="Times New Roman"/>
      <w:szCs w:val="21"/>
    </w:rPr>
  </w:style>
  <w:style w:type="paragraph" w:styleId="33">
    <w:name w:val="toc 9"/>
    <w:basedOn w:val="1"/>
    <w:next w:val="1"/>
    <w:semiHidden/>
    <w:qFormat/>
    <w:uiPriority w:val="0"/>
    <w:pPr>
      <w:ind w:left="1470"/>
      <w:jc w:val="left"/>
    </w:pPr>
    <w:rPr>
      <w:rFonts w:ascii="Times New Roman" w:hAnsi="Times New Roman" w:eastAsia="宋体" w:cs="Times New Roman"/>
      <w:sz w:val="20"/>
      <w:szCs w:val="20"/>
    </w:rPr>
  </w:style>
  <w:style w:type="paragraph" w:styleId="34">
    <w:name w:val="Normal (Web)"/>
    <w:basedOn w:val="1"/>
    <w:qFormat/>
    <w:uiPriority w:val="0"/>
    <w:rPr>
      <w:sz w:val="24"/>
    </w:rPr>
  </w:style>
  <w:style w:type="paragraph" w:styleId="35">
    <w:name w:val="index 2"/>
    <w:basedOn w:val="1"/>
    <w:next w:val="1"/>
    <w:qFormat/>
    <w:uiPriority w:val="0"/>
    <w:pPr>
      <w:ind w:left="420" w:hanging="210"/>
      <w:jc w:val="left"/>
    </w:pPr>
    <w:rPr>
      <w:rFonts w:ascii="Calibri" w:hAnsi="Calibri" w:eastAsia="宋体" w:cs="Times New Roman"/>
      <w:sz w:val="20"/>
      <w:szCs w:val="20"/>
    </w:rPr>
  </w:style>
  <w:style w:type="table" w:styleId="37">
    <w:name w:val="Table Grid"/>
    <w:basedOn w:val="36"/>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9">
    <w:name w:val="Strong"/>
    <w:qFormat/>
    <w:uiPriority w:val="22"/>
    <w:rPr>
      <w:rFonts w:ascii="Times New Roman" w:hAnsi="Times New Roman" w:eastAsia="宋体" w:cs="Times New Roman"/>
      <w:b/>
      <w:bCs/>
    </w:rPr>
  </w:style>
  <w:style w:type="character" w:styleId="40">
    <w:name w:val="endnote reference"/>
    <w:semiHidden/>
    <w:qFormat/>
    <w:uiPriority w:val="0"/>
    <w:rPr>
      <w:rFonts w:ascii="Times New Roman" w:hAnsi="Times New Roman" w:eastAsia="宋体" w:cs="Times New Roman"/>
      <w:vertAlign w:val="superscript"/>
    </w:rPr>
  </w:style>
  <w:style w:type="character" w:styleId="41">
    <w:name w:val="page number"/>
    <w:qFormat/>
    <w:uiPriority w:val="0"/>
    <w:rPr>
      <w:rFonts w:ascii="Times New Roman" w:hAnsi="Times New Roman" w:eastAsia="宋体" w:cs="Times New Roman"/>
      <w:sz w:val="18"/>
    </w:rPr>
  </w:style>
  <w:style w:type="character" w:styleId="42">
    <w:name w:val="FollowedHyperlink"/>
    <w:qFormat/>
    <w:uiPriority w:val="0"/>
    <w:rPr>
      <w:rFonts w:ascii="Times New Roman" w:hAnsi="Times New Roman" w:eastAsia="宋体" w:cs="Times New Roman"/>
      <w:color w:val="800080"/>
      <w:u w:val="single"/>
    </w:rPr>
  </w:style>
  <w:style w:type="character" w:styleId="43">
    <w:name w:val="Hyperlink"/>
    <w:qFormat/>
    <w:uiPriority w:val="99"/>
    <w:rPr>
      <w:rFonts w:ascii="Times New Roman" w:hAnsi="Times New Roman" w:eastAsia="宋体" w:cs="Times New Roman"/>
      <w:color w:val="0000FF"/>
      <w:spacing w:val="0"/>
      <w:w w:val="100"/>
      <w:szCs w:val="21"/>
      <w:u w:val="single"/>
    </w:rPr>
  </w:style>
  <w:style w:type="character" w:styleId="44">
    <w:name w:val="footnote reference"/>
    <w:semiHidden/>
    <w:qFormat/>
    <w:uiPriority w:val="0"/>
    <w:rPr>
      <w:rFonts w:ascii="Times New Roman" w:hAnsi="Times New Roman" w:eastAsia="宋体" w:cs="Times New Roman"/>
      <w:vertAlign w:val="superscript"/>
    </w:rPr>
  </w:style>
  <w:style w:type="paragraph" w:customStyle="1" w:styleId="45">
    <w:name w:val="封面标准文稿编辑信息"/>
    <w:basedOn w:val="46"/>
    <w:qFormat/>
    <w:uiPriority w:val="0"/>
    <w:pPr>
      <w:spacing w:before="180" w:line="180" w:lineRule="exact"/>
    </w:pPr>
    <w:rPr>
      <w:sz w:val="21"/>
    </w:rPr>
  </w:style>
  <w:style w:type="paragraph" w:customStyle="1" w:styleId="46">
    <w:name w:val="封面标准文稿类别"/>
    <w:basedOn w:val="47"/>
    <w:qFormat/>
    <w:uiPriority w:val="0"/>
    <w:pPr>
      <w:spacing w:after="160" w:line="240" w:lineRule="auto"/>
    </w:pPr>
    <w:rPr>
      <w:sz w:val="24"/>
    </w:rPr>
  </w:style>
  <w:style w:type="paragraph" w:customStyle="1" w:styleId="47">
    <w:name w:val="封面一致性程度标识"/>
    <w:basedOn w:val="48"/>
    <w:qFormat/>
    <w:uiPriority w:val="0"/>
    <w:pPr>
      <w:spacing w:before="440"/>
    </w:pPr>
    <w:rPr>
      <w:rFonts w:ascii="宋体" w:eastAsia="宋体"/>
    </w:rPr>
  </w:style>
  <w:style w:type="paragraph" w:customStyle="1" w:styleId="48">
    <w:name w:val="封面标准英文名称"/>
    <w:basedOn w:val="49"/>
    <w:qFormat/>
    <w:uiPriority w:val="0"/>
    <w:pPr>
      <w:spacing w:before="370" w:line="400" w:lineRule="exact"/>
    </w:pPr>
    <w:rPr>
      <w:rFonts w:ascii="Times New Roman"/>
      <w:sz w:val="28"/>
      <w:szCs w:val="28"/>
    </w:rPr>
  </w:style>
  <w:style w:type="paragraph" w:customStyle="1" w:styleId="4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50">
    <w:name w:val="附录五级条标题"/>
    <w:basedOn w:val="51"/>
    <w:next w:val="27"/>
    <w:qFormat/>
    <w:uiPriority w:val="0"/>
    <w:pPr>
      <w:numPr>
        <w:ilvl w:val="6"/>
      </w:numPr>
      <w:tabs>
        <w:tab w:val="left" w:pos="360"/>
      </w:tabs>
      <w:outlineLvl w:val="6"/>
    </w:pPr>
  </w:style>
  <w:style w:type="paragraph" w:customStyle="1" w:styleId="51">
    <w:name w:val="附录四级条标题"/>
    <w:basedOn w:val="52"/>
    <w:next w:val="27"/>
    <w:qFormat/>
    <w:uiPriority w:val="0"/>
    <w:pPr>
      <w:numPr>
        <w:ilvl w:val="5"/>
      </w:numPr>
      <w:tabs>
        <w:tab w:val="left" w:pos="360"/>
      </w:tabs>
      <w:outlineLvl w:val="5"/>
    </w:pPr>
  </w:style>
  <w:style w:type="paragraph" w:customStyle="1" w:styleId="52">
    <w:name w:val="附录三级条标题"/>
    <w:basedOn w:val="53"/>
    <w:next w:val="27"/>
    <w:qFormat/>
    <w:uiPriority w:val="0"/>
    <w:pPr>
      <w:numPr>
        <w:ilvl w:val="4"/>
      </w:numPr>
      <w:tabs>
        <w:tab w:val="left" w:pos="360"/>
      </w:tabs>
      <w:outlineLvl w:val="4"/>
    </w:pPr>
  </w:style>
  <w:style w:type="paragraph" w:customStyle="1" w:styleId="53">
    <w:name w:val="附录二级条标题"/>
    <w:basedOn w:val="1"/>
    <w:next w:val="27"/>
    <w:qFormat/>
    <w:uiPriority w:val="0"/>
    <w:pPr>
      <w:widowControl/>
      <w:numPr>
        <w:ilvl w:val="3"/>
        <w:numId w:val="2"/>
      </w:numPr>
      <w:tabs>
        <w:tab w:val="left" w:pos="360"/>
      </w:tabs>
      <w:wordWrap w:val="0"/>
      <w:overflowPunct w:val="0"/>
      <w:autoSpaceDE w:val="0"/>
      <w:autoSpaceDN w:val="0"/>
      <w:spacing w:beforeLines="50" w:afterLines="50"/>
      <w:textAlignment w:val="baseline"/>
      <w:outlineLvl w:val="3"/>
    </w:pPr>
    <w:rPr>
      <w:rFonts w:ascii="黑体" w:hAnsi="Times New Roman" w:eastAsia="黑体" w:cs="Times New Roman"/>
      <w:kern w:val="21"/>
      <w:szCs w:val="20"/>
    </w:rPr>
  </w:style>
  <w:style w:type="paragraph" w:customStyle="1" w:styleId="54">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55">
    <w:name w:val="其他实施日期"/>
    <w:basedOn w:val="56"/>
    <w:qFormat/>
    <w:uiPriority w:val="0"/>
  </w:style>
  <w:style w:type="paragraph" w:customStyle="1" w:styleId="56">
    <w:name w:val="实施日期"/>
    <w:basedOn w:val="57"/>
    <w:qFormat/>
    <w:uiPriority w:val="0"/>
    <w:pPr>
      <w:framePr w:vAnchor="page" w:hAnchor="text"/>
      <w:jc w:val="right"/>
    </w:pPr>
  </w:style>
  <w:style w:type="paragraph" w:customStyle="1" w:styleId="57">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58">
    <w:name w:val="正文图标题"/>
    <w:next w:val="27"/>
    <w:qFormat/>
    <w:uiPriority w:val="0"/>
    <w:pPr>
      <w:numPr>
        <w:ilvl w:val="0"/>
        <w:numId w:val="3"/>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59">
    <w:name w:val="封面正文"/>
    <w:qFormat/>
    <w:uiPriority w:val="0"/>
    <w:pPr>
      <w:jc w:val="both"/>
    </w:pPr>
    <w:rPr>
      <w:rFonts w:ascii="Times New Roman" w:hAnsi="Times New Roman" w:eastAsia="宋体" w:cs="Times New Roman"/>
      <w:lang w:val="en-US" w:eastAsia="zh-CN" w:bidi="ar-SA"/>
    </w:rPr>
  </w:style>
  <w:style w:type="paragraph" w:customStyle="1" w:styleId="60">
    <w:name w:val="封面标准英文名称2"/>
    <w:basedOn w:val="48"/>
    <w:qFormat/>
    <w:uiPriority w:val="0"/>
    <w:pPr>
      <w:framePr w:y="4469"/>
    </w:pPr>
  </w:style>
  <w:style w:type="paragraph" w:customStyle="1" w:styleId="61">
    <w:name w:val="字母编号列项（一级）"/>
    <w:qFormat/>
    <w:uiPriority w:val="0"/>
    <w:pPr>
      <w:numPr>
        <w:ilvl w:val="0"/>
        <w:numId w:val="4"/>
      </w:numPr>
      <w:jc w:val="both"/>
    </w:pPr>
    <w:rPr>
      <w:rFonts w:ascii="宋体" w:hAnsi="Times New Roman" w:eastAsia="宋体" w:cs="Times New Roman"/>
      <w:sz w:val="21"/>
      <w:lang w:val="en-US" w:eastAsia="zh-CN" w:bidi="ar-SA"/>
    </w:rPr>
  </w:style>
  <w:style w:type="paragraph" w:customStyle="1" w:styleId="62">
    <w:name w:val="封面标准名称2"/>
    <w:basedOn w:val="49"/>
    <w:qFormat/>
    <w:uiPriority w:val="0"/>
    <w:pPr>
      <w:framePr w:y="4469"/>
      <w:spacing w:beforeLines="630"/>
    </w:pPr>
  </w:style>
  <w:style w:type="paragraph" w:customStyle="1" w:styleId="63">
    <w:name w:val="二级条标题"/>
    <w:basedOn w:val="64"/>
    <w:next w:val="27"/>
    <w:qFormat/>
    <w:uiPriority w:val="0"/>
    <w:pPr>
      <w:numPr>
        <w:ilvl w:val="2"/>
      </w:numPr>
      <w:spacing w:before="50" w:after="50"/>
      <w:outlineLvl w:val="3"/>
    </w:pPr>
  </w:style>
  <w:style w:type="paragraph" w:customStyle="1" w:styleId="64">
    <w:name w:val="一级条标题"/>
    <w:next w:val="27"/>
    <w:qFormat/>
    <w:uiPriority w:val="0"/>
    <w:pPr>
      <w:numPr>
        <w:ilvl w:val="1"/>
        <w:numId w:val="5"/>
      </w:numPr>
      <w:spacing w:beforeLines="50" w:afterLines="50"/>
      <w:outlineLvl w:val="2"/>
    </w:pPr>
    <w:rPr>
      <w:rFonts w:ascii="黑体" w:hAnsi="Times New Roman" w:eastAsia="黑体" w:cs="Times New Roman"/>
      <w:sz w:val="21"/>
      <w:szCs w:val="21"/>
      <w:lang w:val="en-US" w:eastAsia="zh-CN" w:bidi="ar-SA"/>
    </w:rPr>
  </w:style>
  <w:style w:type="paragraph" w:customStyle="1" w:styleId="6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66">
    <w:name w:val="附录表标题"/>
    <w:basedOn w:val="1"/>
    <w:next w:val="27"/>
    <w:qFormat/>
    <w:uiPriority w:val="0"/>
    <w:pPr>
      <w:numPr>
        <w:ilvl w:val="1"/>
        <w:numId w:val="6"/>
      </w:numPr>
      <w:tabs>
        <w:tab w:val="left" w:pos="180"/>
      </w:tabs>
      <w:spacing w:beforeLines="50" w:afterLines="50"/>
      <w:ind w:left="0" w:firstLine="0"/>
      <w:jc w:val="center"/>
    </w:pPr>
    <w:rPr>
      <w:rFonts w:ascii="黑体" w:hAnsi="Times New Roman" w:eastAsia="黑体" w:cs="Times New Roman"/>
      <w:szCs w:val="21"/>
    </w:rPr>
  </w:style>
  <w:style w:type="paragraph" w:customStyle="1" w:styleId="67">
    <w:name w:val="数字编号列项（二级）"/>
    <w:qFormat/>
    <w:uiPriority w:val="0"/>
    <w:pPr>
      <w:numPr>
        <w:ilvl w:val="1"/>
        <w:numId w:val="4"/>
      </w:numPr>
      <w:jc w:val="both"/>
    </w:pPr>
    <w:rPr>
      <w:rFonts w:ascii="宋体" w:hAnsi="Times New Roman" w:eastAsia="宋体" w:cs="Times New Roman"/>
      <w:sz w:val="21"/>
      <w:lang w:val="en-US" w:eastAsia="zh-CN" w:bidi="ar-SA"/>
    </w:rPr>
  </w:style>
  <w:style w:type="paragraph" w:customStyle="1" w:styleId="68">
    <w:name w:val="封面标准文稿编辑信息2"/>
    <w:basedOn w:val="45"/>
    <w:qFormat/>
    <w:uiPriority w:val="0"/>
    <w:pPr>
      <w:framePr w:y="4469"/>
    </w:pPr>
  </w:style>
  <w:style w:type="paragraph" w:customStyle="1" w:styleId="69">
    <w:name w:val="三级条标题"/>
    <w:basedOn w:val="63"/>
    <w:next w:val="27"/>
    <w:qFormat/>
    <w:uiPriority w:val="0"/>
    <w:pPr>
      <w:numPr>
        <w:ilvl w:val="3"/>
      </w:numPr>
      <w:outlineLvl w:val="4"/>
    </w:pPr>
  </w:style>
  <w:style w:type="paragraph" w:customStyle="1" w:styleId="70">
    <w:name w:val="附录一级条标题"/>
    <w:basedOn w:val="71"/>
    <w:next w:val="27"/>
    <w:qFormat/>
    <w:uiPriority w:val="0"/>
    <w:pPr>
      <w:numPr>
        <w:ilvl w:val="2"/>
      </w:numPr>
      <w:tabs>
        <w:tab w:val="left" w:pos="360"/>
      </w:tabs>
      <w:autoSpaceDN w:val="0"/>
      <w:spacing w:beforeLines="50" w:afterLines="50"/>
      <w:outlineLvl w:val="2"/>
    </w:pPr>
  </w:style>
  <w:style w:type="paragraph" w:customStyle="1" w:styleId="71">
    <w:name w:val="附录章标题"/>
    <w:next w:val="27"/>
    <w:qFormat/>
    <w:uiPriority w:val="0"/>
    <w:pPr>
      <w:numPr>
        <w:ilvl w:val="1"/>
        <w:numId w:val="2"/>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72">
    <w:name w:val="标准书眉一"/>
    <w:qFormat/>
    <w:uiPriority w:val="0"/>
    <w:pPr>
      <w:jc w:val="both"/>
    </w:pPr>
    <w:rPr>
      <w:rFonts w:ascii="Times New Roman" w:hAnsi="Times New Roman" w:eastAsia="宋体" w:cs="Times New Roman"/>
      <w:lang w:val="en-US" w:eastAsia="zh-CN" w:bidi="ar-SA"/>
    </w:rPr>
  </w:style>
  <w:style w:type="paragraph" w:customStyle="1" w:styleId="73">
    <w:name w:val="正文公式编号制表符"/>
    <w:basedOn w:val="27"/>
    <w:next w:val="27"/>
    <w:qFormat/>
    <w:uiPriority w:val="0"/>
    <w:pPr>
      <w:ind w:firstLine="0" w:firstLineChars="0"/>
    </w:pPr>
  </w:style>
  <w:style w:type="paragraph" w:customStyle="1" w:styleId="7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5">
    <w:name w:val="示例×："/>
    <w:basedOn w:val="76"/>
    <w:qFormat/>
    <w:uiPriority w:val="0"/>
    <w:pPr>
      <w:numPr>
        <w:numId w:val="7"/>
      </w:numPr>
      <w:spacing w:beforeLines="0" w:afterLines="0"/>
      <w:outlineLvl w:val="9"/>
    </w:pPr>
    <w:rPr>
      <w:rFonts w:ascii="宋体" w:eastAsia="宋体"/>
      <w:sz w:val="18"/>
      <w:szCs w:val="18"/>
    </w:rPr>
  </w:style>
  <w:style w:type="paragraph" w:customStyle="1" w:styleId="76">
    <w:name w:val="章标题"/>
    <w:next w:val="27"/>
    <w:qFormat/>
    <w:uiPriority w:val="0"/>
    <w:pPr>
      <w:numPr>
        <w:ilvl w:val="0"/>
        <w:numId w:val="5"/>
      </w:numPr>
      <w:spacing w:beforeLines="100" w:afterLines="100"/>
      <w:jc w:val="both"/>
      <w:outlineLvl w:val="1"/>
    </w:pPr>
    <w:rPr>
      <w:rFonts w:ascii="黑体" w:hAnsi="Times New Roman" w:eastAsia="黑体" w:cs="Times New Roman"/>
      <w:sz w:val="21"/>
      <w:lang w:val="en-US" w:eastAsia="zh-CN" w:bidi="ar-SA"/>
    </w:rPr>
  </w:style>
  <w:style w:type="paragraph" w:customStyle="1" w:styleId="77">
    <w:name w:val="标准书眉_偶数页"/>
    <w:basedOn w:val="78"/>
    <w:next w:val="1"/>
    <w:qFormat/>
    <w:uiPriority w:val="0"/>
    <w:pPr>
      <w:tabs>
        <w:tab w:val="center" w:pos="4154"/>
        <w:tab w:val="right" w:pos="8306"/>
      </w:tabs>
      <w:jc w:val="left"/>
    </w:pPr>
  </w:style>
  <w:style w:type="paragraph" w:customStyle="1" w:styleId="78">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7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80">
    <w:name w:val="附录表标号"/>
    <w:basedOn w:val="1"/>
    <w:next w:val="27"/>
    <w:qFormat/>
    <w:uiPriority w:val="0"/>
    <w:pPr>
      <w:numPr>
        <w:ilvl w:val="0"/>
        <w:numId w:val="6"/>
      </w:numPr>
      <w:tabs>
        <w:tab w:val="clear" w:pos="0"/>
      </w:tabs>
      <w:spacing w:line="14" w:lineRule="exact"/>
      <w:ind w:left="811" w:hanging="448"/>
      <w:jc w:val="center"/>
      <w:outlineLvl w:val="0"/>
    </w:pPr>
    <w:rPr>
      <w:rFonts w:ascii="Times New Roman" w:hAnsi="Times New Roman" w:eastAsia="宋体" w:cs="Times New Roman"/>
      <w:color w:val="FFFFFF"/>
    </w:rPr>
  </w:style>
  <w:style w:type="paragraph" w:customStyle="1" w:styleId="81">
    <w:name w:val="目次、标准名称标题"/>
    <w:basedOn w:val="1"/>
    <w:next w:val="27"/>
    <w:qFormat/>
    <w:uiPriority w:val="0"/>
    <w:pPr>
      <w:keepNext/>
      <w:pageBreakBefore/>
      <w:widowControl/>
      <w:shd w:val="clear" w:color="FFFFFF" w:fill="FFFFFF"/>
      <w:spacing w:before="640" w:after="560" w:line="460" w:lineRule="exact"/>
      <w:jc w:val="center"/>
      <w:outlineLvl w:val="0"/>
    </w:pPr>
    <w:rPr>
      <w:rFonts w:ascii="黑体" w:hAnsi="Times New Roman" w:eastAsia="黑体" w:cs="Times New Roman"/>
      <w:kern w:val="0"/>
      <w:sz w:val="32"/>
      <w:szCs w:val="20"/>
    </w:rPr>
  </w:style>
  <w:style w:type="paragraph" w:customStyle="1" w:styleId="82">
    <w:name w:val="附录标题"/>
    <w:basedOn w:val="27"/>
    <w:next w:val="27"/>
    <w:qFormat/>
    <w:uiPriority w:val="0"/>
    <w:pPr>
      <w:ind w:firstLine="0" w:firstLineChars="0"/>
      <w:jc w:val="center"/>
    </w:pPr>
    <w:rPr>
      <w:rFonts w:ascii="黑体" w:eastAsia="黑体"/>
    </w:rPr>
  </w:style>
  <w:style w:type="paragraph" w:customStyle="1" w:styleId="83">
    <w:name w:val="四级条标题"/>
    <w:basedOn w:val="69"/>
    <w:next w:val="27"/>
    <w:qFormat/>
    <w:uiPriority w:val="0"/>
    <w:pPr>
      <w:numPr>
        <w:ilvl w:val="4"/>
      </w:numPr>
      <w:outlineLvl w:val="5"/>
    </w:pPr>
  </w:style>
  <w:style w:type="paragraph" w:customStyle="1" w:styleId="84">
    <w:name w:val="前言、引言标题"/>
    <w:next w:val="27"/>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85">
    <w:name w:val="附录字母编号列项（一级）"/>
    <w:qFormat/>
    <w:uiPriority w:val="0"/>
    <w:pPr>
      <w:numPr>
        <w:ilvl w:val="0"/>
        <w:numId w:val="8"/>
      </w:numPr>
    </w:pPr>
    <w:rPr>
      <w:rFonts w:ascii="宋体" w:hAnsi="Times New Roman" w:eastAsia="宋体" w:cs="Times New Roman"/>
      <w:sz w:val="21"/>
      <w:lang w:val="en-US" w:eastAsia="zh-CN" w:bidi="ar-SA"/>
    </w:rPr>
  </w:style>
  <w:style w:type="paragraph" w:customStyle="1" w:styleId="86">
    <w:name w:val="图的脚注"/>
    <w:next w:val="27"/>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87">
    <w:name w:val="首示例"/>
    <w:next w:val="27"/>
    <w:link w:val="142"/>
    <w:qFormat/>
    <w:uiPriority w:val="0"/>
    <w:pPr>
      <w:numPr>
        <w:ilvl w:val="0"/>
        <w:numId w:val="9"/>
      </w:numPr>
      <w:tabs>
        <w:tab w:val="left" w:pos="360"/>
      </w:tabs>
      <w:ind w:firstLine="0"/>
    </w:pPr>
    <w:rPr>
      <w:rFonts w:ascii="宋体" w:hAnsi="宋体" w:eastAsia="宋体" w:cs="Times New Roman"/>
      <w:kern w:val="2"/>
      <w:sz w:val="18"/>
      <w:szCs w:val="18"/>
      <w:lang w:val="en-US" w:eastAsia="zh-CN" w:bidi="ar-SA"/>
    </w:rPr>
  </w:style>
  <w:style w:type="paragraph" w:customStyle="1" w:styleId="8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89">
    <w:name w:val="一级无"/>
    <w:basedOn w:val="64"/>
    <w:qFormat/>
    <w:uiPriority w:val="0"/>
    <w:pPr>
      <w:spacing w:beforeLines="0" w:afterLines="0"/>
    </w:pPr>
    <w:rPr>
      <w:rFonts w:ascii="宋体" w:eastAsia="宋体"/>
    </w:rPr>
  </w:style>
  <w:style w:type="paragraph" w:customStyle="1" w:styleId="90">
    <w:name w:val="注：（正文）"/>
    <w:basedOn w:val="91"/>
    <w:next w:val="27"/>
    <w:qFormat/>
    <w:uiPriority w:val="0"/>
  </w:style>
  <w:style w:type="paragraph" w:customStyle="1" w:styleId="91">
    <w:name w:val="注："/>
    <w:next w:val="27"/>
    <w:qFormat/>
    <w:uiPriority w:val="0"/>
    <w:pPr>
      <w:widowControl w:val="0"/>
      <w:numPr>
        <w:ilvl w:val="0"/>
        <w:numId w:val="10"/>
      </w:numPr>
      <w:autoSpaceDE w:val="0"/>
      <w:autoSpaceDN w:val="0"/>
      <w:jc w:val="both"/>
    </w:pPr>
    <w:rPr>
      <w:rFonts w:ascii="宋体" w:hAnsi="Times New Roman" w:eastAsia="宋体" w:cs="Times New Roman"/>
      <w:sz w:val="18"/>
      <w:szCs w:val="18"/>
      <w:lang w:val="en-US" w:eastAsia="zh-CN" w:bidi="ar-SA"/>
    </w:rPr>
  </w:style>
  <w:style w:type="paragraph" w:customStyle="1" w:styleId="92">
    <w:name w:val="编号列项（三级）"/>
    <w:qFormat/>
    <w:uiPriority w:val="0"/>
    <w:pPr>
      <w:numPr>
        <w:ilvl w:val="2"/>
        <w:numId w:val="4"/>
      </w:numPr>
    </w:pPr>
    <w:rPr>
      <w:rFonts w:ascii="宋体" w:hAnsi="Times New Roman" w:eastAsia="宋体" w:cs="Times New Roman"/>
      <w:sz w:val="21"/>
      <w:lang w:val="en-US" w:eastAsia="zh-CN" w:bidi="ar-SA"/>
    </w:rPr>
  </w:style>
  <w:style w:type="paragraph" w:customStyle="1" w:styleId="93">
    <w:name w:val="示例后文字"/>
    <w:basedOn w:val="27"/>
    <w:next w:val="27"/>
    <w:qFormat/>
    <w:uiPriority w:val="0"/>
    <w:pPr>
      <w:ind w:firstLine="360"/>
    </w:pPr>
    <w:rPr>
      <w:sz w:val="18"/>
    </w:rPr>
  </w:style>
  <w:style w:type="paragraph" w:customStyle="1" w:styleId="94">
    <w:name w:val="列项——（一级）"/>
    <w:qFormat/>
    <w:uiPriority w:val="0"/>
    <w:pPr>
      <w:widowControl w:val="0"/>
      <w:numPr>
        <w:ilvl w:val="0"/>
        <w:numId w:val="11"/>
      </w:numPr>
      <w:jc w:val="both"/>
    </w:pPr>
    <w:rPr>
      <w:rFonts w:ascii="宋体" w:hAnsi="Times New Roman" w:eastAsia="宋体" w:cs="Times New Roman"/>
      <w:sz w:val="21"/>
      <w:lang w:val="en-US" w:eastAsia="zh-CN" w:bidi="ar-SA"/>
    </w:rPr>
  </w:style>
  <w:style w:type="paragraph" w:customStyle="1" w:styleId="95">
    <w:name w:val="附录五级无"/>
    <w:basedOn w:val="50"/>
    <w:qFormat/>
    <w:uiPriority w:val="0"/>
    <w:pPr>
      <w:tabs>
        <w:tab w:val="clear" w:pos="360"/>
      </w:tabs>
      <w:spacing w:beforeLines="0" w:afterLines="0"/>
    </w:pPr>
    <w:rPr>
      <w:rFonts w:ascii="宋体" w:eastAsia="宋体"/>
      <w:szCs w:val="21"/>
    </w:rPr>
  </w:style>
  <w:style w:type="paragraph" w:customStyle="1" w:styleId="96">
    <w:name w:val="五级条标题"/>
    <w:basedOn w:val="83"/>
    <w:next w:val="27"/>
    <w:qFormat/>
    <w:uiPriority w:val="0"/>
    <w:pPr>
      <w:numPr>
        <w:ilvl w:val="5"/>
      </w:numPr>
      <w:outlineLvl w:val="6"/>
    </w:pPr>
  </w:style>
  <w:style w:type="paragraph" w:customStyle="1" w:styleId="97">
    <w:name w:val="附录二级无"/>
    <w:basedOn w:val="53"/>
    <w:qFormat/>
    <w:uiPriority w:val="0"/>
    <w:pPr>
      <w:tabs>
        <w:tab w:val="clear" w:pos="360"/>
      </w:tabs>
      <w:spacing w:beforeLines="0" w:afterLines="0"/>
    </w:pPr>
    <w:rPr>
      <w:rFonts w:ascii="宋体" w:eastAsia="宋体"/>
      <w:szCs w:val="21"/>
    </w:rPr>
  </w:style>
  <w:style w:type="paragraph" w:customStyle="1" w:styleId="98">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99">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00">
    <w:name w:val="附录公式"/>
    <w:basedOn w:val="27"/>
    <w:next w:val="27"/>
    <w:link w:val="144"/>
    <w:qFormat/>
    <w:uiPriority w:val="0"/>
  </w:style>
  <w:style w:type="paragraph" w:customStyle="1" w:styleId="101">
    <w:name w:val="图标脚注说明"/>
    <w:basedOn w:val="27"/>
    <w:qFormat/>
    <w:uiPriority w:val="0"/>
    <w:pPr>
      <w:ind w:left="840" w:hanging="420" w:firstLineChars="0"/>
    </w:pPr>
    <w:rPr>
      <w:sz w:val="18"/>
      <w:szCs w:val="18"/>
    </w:rPr>
  </w:style>
  <w:style w:type="paragraph" w:customStyle="1" w:styleId="102">
    <w:name w:val="正文表标题"/>
    <w:next w:val="27"/>
    <w:qFormat/>
    <w:uiPriority w:val="0"/>
    <w:pPr>
      <w:numPr>
        <w:ilvl w:val="0"/>
        <w:numId w:val="12"/>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03">
    <w:name w:val="其他发布部门"/>
    <w:basedOn w:val="104"/>
    <w:qFormat/>
    <w:uiPriority w:val="0"/>
    <w:pPr>
      <w:framePr w:y="15310"/>
      <w:spacing w:line="0" w:lineRule="atLeast"/>
    </w:pPr>
    <w:rPr>
      <w:rFonts w:ascii="黑体" w:eastAsia="黑体"/>
      <w:b w:val="0"/>
    </w:rPr>
  </w:style>
  <w:style w:type="paragraph" w:customStyle="1" w:styleId="104">
    <w:name w:val="发布部门"/>
    <w:next w:val="27"/>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05">
    <w:name w:val="列项●（二级）"/>
    <w:qFormat/>
    <w:uiPriority w:val="0"/>
    <w:pPr>
      <w:numPr>
        <w:ilvl w:val="1"/>
        <w:numId w:val="11"/>
      </w:numPr>
      <w:tabs>
        <w:tab w:val="left" w:pos="840"/>
      </w:tabs>
      <w:jc w:val="both"/>
    </w:pPr>
    <w:rPr>
      <w:rFonts w:ascii="宋体" w:hAnsi="Times New Roman" w:eastAsia="宋体" w:cs="Times New Roman"/>
      <w:sz w:val="21"/>
      <w:lang w:val="en-US" w:eastAsia="zh-CN" w:bidi="ar-SA"/>
    </w:rPr>
  </w:style>
  <w:style w:type="paragraph" w:customStyle="1" w:styleId="106">
    <w:name w:val="附录三级无"/>
    <w:basedOn w:val="52"/>
    <w:qFormat/>
    <w:uiPriority w:val="0"/>
    <w:pPr>
      <w:tabs>
        <w:tab w:val="clear" w:pos="360"/>
      </w:tabs>
      <w:spacing w:beforeLines="0" w:afterLines="0"/>
    </w:pPr>
    <w:rPr>
      <w:rFonts w:ascii="宋体" w:eastAsia="宋体"/>
      <w:szCs w:val="21"/>
    </w:rPr>
  </w:style>
  <w:style w:type="paragraph" w:customStyle="1" w:styleId="107">
    <w:name w:val="五级无"/>
    <w:basedOn w:val="96"/>
    <w:qFormat/>
    <w:uiPriority w:val="0"/>
    <w:pPr>
      <w:spacing w:beforeLines="0" w:afterLines="0"/>
    </w:pPr>
    <w:rPr>
      <w:rFonts w:ascii="宋体" w:eastAsia="宋体"/>
    </w:rPr>
  </w:style>
  <w:style w:type="paragraph" w:customStyle="1" w:styleId="108">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09">
    <w:name w:val="其他标准标志"/>
    <w:basedOn w:val="98"/>
    <w:qFormat/>
    <w:uiPriority w:val="0"/>
    <w:pPr>
      <w:framePr w:w="6101" w:vAnchor="page" w:hAnchor="page" w:x="4673" w:y="942"/>
    </w:pPr>
    <w:rPr>
      <w:w w:val="130"/>
    </w:rPr>
  </w:style>
  <w:style w:type="paragraph" w:customStyle="1" w:styleId="110">
    <w:name w:val="其他发布日期"/>
    <w:basedOn w:val="57"/>
    <w:qFormat/>
    <w:uiPriority w:val="0"/>
    <w:pPr>
      <w:framePr w:vAnchor="page" w:hAnchor="text" w:x="1419"/>
    </w:pPr>
  </w:style>
  <w:style w:type="paragraph" w:customStyle="1" w:styleId="111">
    <w:name w:val="图表脚注说明"/>
    <w:basedOn w:val="1"/>
    <w:qFormat/>
    <w:uiPriority w:val="0"/>
    <w:pPr>
      <w:numPr>
        <w:ilvl w:val="0"/>
        <w:numId w:val="13"/>
      </w:numPr>
    </w:pPr>
    <w:rPr>
      <w:rFonts w:ascii="宋体" w:hAnsi="Times New Roman" w:eastAsia="宋体" w:cs="Times New Roman"/>
      <w:sz w:val="18"/>
      <w:szCs w:val="18"/>
    </w:rPr>
  </w:style>
  <w:style w:type="paragraph" w:customStyle="1" w:styleId="112">
    <w:name w:val="封面一致性程度标识2"/>
    <w:basedOn w:val="47"/>
    <w:qFormat/>
    <w:uiPriority w:val="0"/>
    <w:pPr>
      <w:framePr w:y="4469"/>
    </w:pPr>
  </w:style>
  <w:style w:type="paragraph" w:customStyle="1" w:styleId="113">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14">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15">
    <w:name w:val="封面标准文稿类别2"/>
    <w:basedOn w:val="46"/>
    <w:qFormat/>
    <w:uiPriority w:val="0"/>
    <w:pPr>
      <w:framePr w:y="4469"/>
    </w:pPr>
  </w:style>
  <w:style w:type="paragraph" w:customStyle="1" w:styleId="116">
    <w:name w:val="注×："/>
    <w:qFormat/>
    <w:uiPriority w:val="0"/>
    <w:pPr>
      <w:widowControl w:val="0"/>
      <w:numPr>
        <w:ilvl w:val="0"/>
        <w:numId w:val="14"/>
      </w:numPr>
      <w:autoSpaceDE w:val="0"/>
      <w:autoSpaceDN w:val="0"/>
      <w:jc w:val="both"/>
    </w:pPr>
    <w:rPr>
      <w:rFonts w:ascii="宋体" w:hAnsi="Times New Roman" w:eastAsia="宋体" w:cs="Times New Roman"/>
      <w:sz w:val="18"/>
      <w:szCs w:val="18"/>
      <w:lang w:val="en-US" w:eastAsia="zh-CN" w:bidi="ar-SA"/>
    </w:rPr>
  </w:style>
  <w:style w:type="paragraph" w:styleId="117">
    <w:name w:val="List Paragraph"/>
    <w:basedOn w:val="1"/>
    <w:qFormat/>
    <w:uiPriority w:val="1"/>
    <w:pPr>
      <w:autoSpaceDE w:val="0"/>
      <w:autoSpaceDN w:val="0"/>
      <w:ind w:left="1314" w:hanging="735"/>
      <w:jc w:val="left"/>
    </w:pPr>
    <w:rPr>
      <w:rFonts w:ascii="宋体" w:hAnsi="宋体" w:eastAsia="宋体" w:cs="宋体"/>
      <w:kern w:val="0"/>
      <w:sz w:val="22"/>
      <w:szCs w:val="22"/>
      <w:lang w:val="zh-CN" w:bidi="zh-CN"/>
    </w:rPr>
  </w:style>
  <w:style w:type="paragraph" w:customStyle="1" w:styleId="118">
    <w:name w:val="参考文献、索引标题"/>
    <w:basedOn w:val="1"/>
    <w:next w:val="27"/>
    <w:qFormat/>
    <w:uiPriority w:val="0"/>
    <w:pPr>
      <w:keepNext/>
      <w:pageBreakBefore/>
      <w:widowControl/>
      <w:shd w:val="clear" w:color="FFFFFF" w:fill="FFFFFF"/>
      <w:spacing w:before="640" w:after="200"/>
      <w:jc w:val="center"/>
      <w:outlineLvl w:val="0"/>
    </w:pPr>
    <w:rPr>
      <w:rFonts w:ascii="黑体" w:hAnsi="Times New Roman" w:eastAsia="黑体" w:cs="Times New Roman"/>
      <w:kern w:val="0"/>
      <w:szCs w:val="20"/>
    </w:rPr>
  </w:style>
  <w:style w:type="paragraph" w:customStyle="1" w:styleId="119">
    <w:name w:val="附录四级无"/>
    <w:basedOn w:val="51"/>
    <w:qFormat/>
    <w:uiPriority w:val="0"/>
    <w:pPr>
      <w:tabs>
        <w:tab w:val="clear" w:pos="360"/>
      </w:tabs>
      <w:spacing w:beforeLines="0" w:afterLines="0"/>
    </w:pPr>
    <w:rPr>
      <w:rFonts w:ascii="宋体" w:eastAsia="宋体"/>
      <w:szCs w:val="21"/>
    </w:rPr>
  </w:style>
  <w:style w:type="paragraph" w:customStyle="1" w:styleId="120">
    <w:name w:val="注×：（正文）"/>
    <w:qFormat/>
    <w:uiPriority w:val="0"/>
    <w:pPr>
      <w:numPr>
        <w:ilvl w:val="0"/>
        <w:numId w:val="15"/>
      </w:numPr>
      <w:jc w:val="both"/>
    </w:pPr>
    <w:rPr>
      <w:rFonts w:ascii="宋体" w:hAnsi="Times New Roman" w:eastAsia="宋体" w:cs="Times New Roman"/>
      <w:sz w:val="18"/>
      <w:szCs w:val="18"/>
      <w:lang w:val="en-US" w:eastAsia="zh-CN" w:bidi="ar-SA"/>
    </w:rPr>
  </w:style>
  <w:style w:type="paragraph" w:customStyle="1" w:styleId="121">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22">
    <w:name w:val="Table Paragraph"/>
    <w:basedOn w:val="1"/>
    <w:qFormat/>
    <w:uiPriority w:val="1"/>
    <w:pPr>
      <w:autoSpaceDE w:val="0"/>
      <w:autoSpaceDN w:val="0"/>
      <w:jc w:val="left"/>
    </w:pPr>
    <w:rPr>
      <w:rFonts w:ascii="宋体" w:hAnsi="宋体" w:eastAsia="宋体" w:cs="宋体"/>
      <w:kern w:val="0"/>
      <w:sz w:val="22"/>
      <w:szCs w:val="22"/>
      <w:lang w:val="zh-CN" w:bidi="zh-CN"/>
    </w:rPr>
  </w:style>
  <w:style w:type="paragraph" w:customStyle="1" w:styleId="123">
    <w:name w:val="示例"/>
    <w:next w:val="124"/>
    <w:qFormat/>
    <w:uiPriority w:val="0"/>
    <w:pPr>
      <w:widowControl w:val="0"/>
      <w:numPr>
        <w:ilvl w:val="0"/>
        <w:numId w:val="16"/>
      </w:numPr>
      <w:jc w:val="both"/>
    </w:pPr>
    <w:rPr>
      <w:rFonts w:ascii="宋体" w:hAnsi="Times New Roman" w:eastAsia="宋体" w:cs="Times New Roman"/>
      <w:sz w:val="18"/>
      <w:szCs w:val="18"/>
      <w:lang w:val="en-US" w:eastAsia="zh-CN" w:bidi="ar-SA"/>
    </w:rPr>
  </w:style>
  <w:style w:type="paragraph" w:customStyle="1" w:styleId="12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125">
    <w:name w:val="附录数字编号列项（二级）"/>
    <w:qFormat/>
    <w:uiPriority w:val="0"/>
    <w:pPr>
      <w:numPr>
        <w:ilvl w:val="1"/>
        <w:numId w:val="8"/>
      </w:numPr>
    </w:pPr>
    <w:rPr>
      <w:rFonts w:ascii="宋体" w:hAnsi="Times New Roman" w:eastAsia="宋体" w:cs="Times New Roman"/>
      <w:sz w:val="21"/>
      <w:lang w:val="en-US" w:eastAsia="zh-CN" w:bidi="ar-SA"/>
    </w:rPr>
  </w:style>
  <w:style w:type="paragraph" w:customStyle="1" w:styleId="126">
    <w:name w:val="四级无"/>
    <w:basedOn w:val="83"/>
    <w:qFormat/>
    <w:uiPriority w:val="0"/>
    <w:pPr>
      <w:spacing w:beforeLines="0" w:afterLines="0"/>
    </w:pPr>
    <w:rPr>
      <w:rFonts w:ascii="宋体" w:eastAsia="宋体"/>
    </w:rPr>
  </w:style>
  <w:style w:type="paragraph" w:customStyle="1" w:styleId="127">
    <w:name w:val="附录一级无"/>
    <w:basedOn w:val="70"/>
    <w:qFormat/>
    <w:uiPriority w:val="0"/>
    <w:pPr>
      <w:tabs>
        <w:tab w:val="clear" w:pos="360"/>
      </w:tabs>
      <w:spacing w:beforeLines="0" w:afterLines="0"/>
    </w:pPr>
    <w:rPr>
      <w:rFonts w:ascii="宋体" w:eastAsia="宋体"/>
      <w:szCs w:val="21"/>
    </w:rPr>
  </w:style>
  <w:style w:type="paragraph" w:customStyle="1" w:styleId="128">
    <w:name w:val="三级无"/>
    <w:basedOn w:val="69"/>
    <w:qFormat/>
    <w:uiPriority w:val="0"/>
    <w:pPr>
      <w:spacing w:beforeLines="0" w:afterLines="0"/>
    </w:pPr>
    <w:rPr>
      <w:rFonts w:ascii="宋体" w:eastAsia="宋体"/>
    </w:rPr>
  </w:style>
  <w:style w:type="paragraph" w:customStyle="1" w:styleId="129">
    <w:name w:val="终结线"/>
    <w:basedOn w:val="1"/>
    <w:qFormat/>
    <w:uiPriority w:val="0"/>
    <w:pPr>
      <w:framePr w:hSpace="181" w:vSpace="181" w:wrap="around" w:vAnchor="text" w:hAnchor="margin" w:xAlign="center" w:y="285"/>
    </w:pPr>
    <w:rPr>
      <w:rFonts w:ascii="Times New Roman" w:hAnsi="Times New Roman" w:eastAsia="宋体" w:cs="Times New Roman"/>
    </w:rPr>
  </w:style>
  <w:style w:type="paragraph" w:customStyle="1" w:styleId="130">
    <w:name w:val="条文脚注"/>
    <w:basedOn w:val="28"/>
    <w:qFormat/>
    <w:uiPriority w:val="0"/>
    <w:pPr>
      <w:numPr>
        <w:numId w:val="0"/>
      </w:numPr>
      <w:jc w:val="both"/>
    </w:pPr>
  </w:style>
  <w:style w:type="paragraph" w:customStyle="1" w:styleId="131">
    <w:name w:val="列项◆（三级）"/>
    <w:basedOn w:val="1"/>
    <w:qFormat/>
    <w:uiPriority w:val="0"/>
    <w:pPr>
      <w:numPr>
        <w:ilvl w:val="2"/>
        <w:numId w:val="11"/>
      </w:numPr>
    </w:pPr>
    <w:rPr>
      <w:rFonts w:ascii="宋体" w:hAnsi="Times New Roman" w:eastAsia="宋体" w:cs="Times New Roman"/>
      <w:szCs w:val="21"/>
    </w:rPr>
  </w:style>
  <w:style w:type="paragraph" w:customStyle="1" w:styleId="132">
    <w:name w:val="附录图标题"/>
    <w:basedOn w:val="1"/>
    <w:next w:val="27"/>
    <w:qFormat/>
    <w:uiPriority w:val="0"/>
    <w:pPr>
      <w:numPr>
        <w:ilvl w:val="1"/>
        <w:numId w:val="17"/>
      </w:numPr>
      <w:tabs>
        <w:tab w:val="left" w:pos="363"/>
      </w:tabs>
      <w:spacing w:beforeLines="50" w:afterLines="50"/>
      <w:ind w:left="0" w:firstLine="0"/>
      <w:jc w:val="center"/>
    </w:pPr>
    <w:rPr>
      <w:rFonts w:ascii="黑体" w:hAnsi="Times New Roman" w:eastAsia="黑体" w:cs="Times New Roman"/>
      <w:szCs w:val="21"/>
    </w:rPr>
  </w:style>
  <w:style w:type="paragraph" w:customStyle="1" w:styleId="133">
    <w:name w:val="二级无"/>
    <w:basedOn w:val="63"/>
    <w:qFormat/>
    <w:uiPriority w:val="0"/>
    <w:pPr>
      <w:spacing w:beforeLines="0" w:afterLines="0"/>
    </w:pPr>
    <w:rPr>
      <w:rFonts w:ascii="宋体" w:eastAsia="宋体"/>
    </w:rPr>
  </w:style>
  <w:style w:type="paragraph" w:customStyle="1" w:styleId="134">
    <w:name w:val="参考文献"/>
    <w:basedOn w:val="1"/>
    <w:next w:val="27"/>
    <w:qFormat/>
    <w:uiPriority w:val="0"/>
    <w:pPr>
      <w:keepNext/>
      <w:pageBreakBefore/>
      <w:widowControl/>
      <w:shd w:val="clear" w:color="FFFFFF" w:fill="FFFFFF"/>
      <w:spacing w:before="640" w:after="200"/>
      <w:jc w:val="center"/>
      <w:outlineLvl w:val="0"/>
    </w:pPr>
    <w:rPr>
      <w:rFonts w:ascii="黑体" w:hAnsi="Times New Roman" w:eastAsia="黑体" w:cs="Times New Roman"/>
      <w:kern w:val="0"/>
      <w:szCs w:val="20"/>
    </w:rPr>
  </w:style>
  <w:style w:type="paragraph" w:customStyle="1" w:styleId="135">
    <w:name w:val="附录标识"/>
    <w:basedOn w:val="1"/>
    <w:next w:val="27"/>
    <w:qFormat/>
    <w:uiPriority w:val="0"/>
    <w:pPr>
      <w:keepNext/>
      <w:widowControl/>
      <w:numPr>
        <w:ilvl w:val="0"/>
        <w:numId w:val="2"/>
      </w:numPr>
      <w:shd w:val="clear" w:color="FFFFFF" w:fill="FFFFFF"/>
      <w:tabs>
        <w:tab w:val="left" w:pos="360"/>
        <w:tab w:val="left" w:pos="6405"/>
      </w:tabs>
      <w:spacing w:before="640" w:after="280"/>
      <w:jc w:val="center"/>
      <w:outlineLvl w:val="0"/>
    </w:pPr>
    <w:rPr>
      <w:rFonts w:ascii="黑体" w:hAnsi="Times New Roman" w:eastAsia="黑体" w:cs="Times New Roman"/>
      <w:kern w:val="0"/>
      <w:szCs w:val="20"/>
    </w:rPr>
  </w:style>
  <w:style w:type="paragraph" w:customStyle="1" w:styleId="136">
    <w:name w:val="附录公式编号制表符"/>
    <w:basedOn w:val="1"/>
    <w:next w:val="27"/>
    <w:qFormat/>
    <w:uiPriority w:val="0"/>
    <w:pPr>
      <w:widowControl/>
      <w:tabs>
        <w:tab w:val="center" w:pos="4201"/>
        <w:tab w:val="right" w:leader="dot" w:pos="9298"/>
      </w:tabs>
      <w:autoSpaceDE w:val="0"/>
      <w:autoSpaceDN w:val="0"/>
    </w:pPr>
    <w:rPr>
      <w:rFonts w:ascii="宋体" w:hAnsi="Times New Roman" w:eastAsia="宋体" w:cs="Times New Roman"/>
      <w:kern w:val="0"/>
      <w:szCs w:val="20"/>
    </w:rPr>
  </w:style>
  <w:style w:type="paragraph" w:customStyle="1" w:styleId="137">
    <w:name w:val="列项说明"/>
    <w:basedOn w:val="1"/>
    <w:qFormat/>
    <w:uiPriority w:val="0"/>
    <w:pPr>
      <w:adjustRightInd w:val="0"/>
      <w:spacing w:line="320" w:lineRule="exact"/>
      <w:ind w:left="400" w:leftChars="200" w:hanging="200" w:hangingChars="200"/>
      <w:jc w:val="left"/>
      <w:textAlignment w:val="baseline"/>
    </w:pPr>
    <w:rPr>
      <w:rFonts w:ascii="宋体" w:hAnsi="Times New Roman" w:eastAsia="宋体" w:cs="Times New Roman"/>
      <w:kern w:val="0"/>
      <w:szCs w:val="20"/>
    </w:rPr>
  </w:style>
  <w:style w:type="paragraph" w:customStyle="1" w:styleId="138">
    <w:name w:val="附录图标号"/>
    <w:basedOn w:val="1"/>
    <w:qFormat/>
    <w:uiPriority w:val="0"/>
    <w:pPr>
      <w:keepNext/>
      <w:pageBreakBefore/>
      <w:widowControl/>
      <w:numPr>
        <w:ilvl w:val="0"/>
        <w:numId w:val="17"/>
      </w:numPr>
      <w:spacing w:line="14" w:lineRule="exact"/>
      <w:ind w:left="0" w:firstLine="363"/>
      <w:jc w:val="center"/>
      <w:outlineLvl w:val="0"/>
    </w:pPr>
    <w:rPr>
      <w:rFonts w:ascii="Times New Roman" w:hAnsi="Times New Roman" w:eastAsia="宋体" w:cs="Times New Roman"/>
      <w:color w:val="FFFFFF"/>
    </w:rPr>
  </w:style>
  <w:style w:type="character" w:customStyle="1" w:styleId="139">
    <w:name w:val="批注框文本 字符"/>
    <w:link w:val="20"/>
    <w:qFormat/>
    <w:uiPriority w:val="0"/>
    <w:rPr>
      <w:rFonts w:ascii="Times New Roman" w:hAnsi="Times New Roman" w:eastAsia="宋体" w:cs="Times New Roman"/>
      <w:kern w:val="2"/>
      <w:sz w:val="18"/>
      <w:szCs w:val="18"/>
    </w:rPr>
  </w:style>
  <w:style w:type="character" w:customStyle="1" w:styleId="140">
    <w:name w:val="正文文本 Char"/>
    <w:link w:val="13"/>
    <w:qFormat/>
    <w:uiPriority w:val="0"/>
    <w:rPr>
      <w:rFonts w:ascii="Times New Roman" w:hAnsi="Times New Roman" w:eastAsia="宋体" w:cs="Times New Roman"/>
      <w:kern w:val="2"/>
      <w:sz w:val="21"/>
      <w:szCs w:val="24"/>
    </w:rPr>
  </w:style>
  <w:style w:type="character" w:customStyle="1" w:styleId="141">
    <w:name w:val="发布"/>
    <w:qFormat/>
    <w:uiPriority w:val="0"/>
    <w:rPr>
      <w:rFonts w:ascii="黑体" w:hAnsi="Times New Roman" w:eastAsia="黑体" w:cs="Times New Roman"/>
      <w:spacing w:val="85"/>
      <w:w w:val="100"/>
      <w:position w:val="3"/>
      <w:sz w:val="28"/>
      <w:szCs w:val="28"/>
    </w:rPr>
  </w:style>
  <w:style w:type="character" w:customStyle="1" w:styleId="142">
    <w:name w:val="首示例 Char"/>
    <w:link w:val="87"/>
    <w:qFormat/>
    <w:uiPriority w:val="0"/>
    <w:rPr>
      <w:rFonts w:ascii="宋体" w:hAnsi="宋体" w:eastAsia="宋体" w:cs="Times New Roman"/>
      <w:kern w:val="2"/>
      <w:sz w:val="18"/>
      <w:szCs w:val="18"/>
      <w:lang w:val="en-US" w:eastAsia="zh-CN" w:bidi="ar-SA"/>
    </w:rPr>
  </w:style>
  <w:style w:type="character" w:customStyle="1" w:styleId="143">
    <w:name w:val="段 Char"/>
    <w:link w:val="27"/>
    <w:qFormat/>
    <w:uiPriority w:val="0"/>
    <w:rPr>
      <w:rFonts w:ascii="宋体" w:hAnsi="Times New Roman" w:eastAsia="宋体" w:cs="Times New Roman"/>
      <w:sz w:val="21"/>
      <w:lang w:val="en-US" w:eastAsia="zh-CN" w:bidi="ar-SA"/>
    </w:rPr>
  </w:style>
  <w:style w:type="character" w:customStyle="1" w:styleId="144">
    <w:name w:val="附录公式 Char"/>
    <w:basedOn w:val="143"/>
    <w:link w:val="100"/>
    <w:qFormat/>
    <w:uiPriority w:val="0"/>
  </w:style>
  <w:style w:type="character" w:customStyle="1" w:styleId="145">
    <w:name w:val="批注框文本 Char"/>
    <w:link w:val="20"/>
    <w:qFormat/>
    <w:uiPriority w:val="0"/>
    <w:rPr>
      <w:rFonts w:ascii="Calibri" w:hAnsi="Calibri" w:eastAsia="Calibri" w:cs="Times New Roman"/>
      <w:kern w:val="2"/>
      <w:sz w:val="18"/>
      <w:szCs w:val="18"/>
    </w:rPr>
  </w:style>
  <w:style w:type="character" w:customStyle="1" w:styleId="146">
    <w:name w:val="页脚 Char"/>
    <w:basedOn w:val="38"/>
    <w:link w:val="21"/>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34</Pages>
  <Words>8791</Words>
  <Characters>2170</Characters>
  <Lines>18</Lines>
  <Paragraphs>21</Paragraphs>
  <TotalTime>0</TotalTime>
  <ScaleCrop>false</ScaleCrop>
  <LinksUpToDate>false</LinksUpToDate>
  <CharactersWithSpaces>10940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2018-08-29T10:18:00Z</dcterms:created>
  <dc:creator>shaoping007</dc:creator>
  <cp:lastModifiedBy>Lgq-1022</cp:lastModifiedBy>
  <cp:lastPrinted>2020-07-22T15:06:00Z</cp:lastPrinted>
  <dcterms:modified xsi:type="dcterms:W3CDTF">2024-09-06T01:23:58Z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630C282D6F794C42AF12211A3EB1C87D</vt:lpwstr>
  </property>
</Properties>
</file>