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1BBF8">
      <w:pPr>
        <w:spacing w:line="534" w:lineRule="exact"/>
        <w:jc w:val="center"/>
        <w:rPr>
          <w:rFonts w:hint="eastAsia" w:ascii="方正小标宋简体" w:hAnsi="方正小标宋简体" w:eastAsia="方正小标宋简体" w:cs="方正小标宋简体"/>
          <w:sz w:val="44"/>
          <w:szCs w:val="44"/>
          <w:lang w:eastAsia="zh-CN"/>
        </w:rPr>
      </w:pPr>
    </w:p>
    <w:p w14:paraId="3007B1DD">
      <w:pPr>
        <w:spacing w:line="534" w:lineRule="exact"/>
        <w:jc w:val="center"/>
        <w:rPr>
          <w:rFonts w:hint="eastAsia" w:ascii="方正小标宋简体" w:hAnsi="方正小标宋简体" w:eastAsia="方正小标宋简体" w:cs="方正小标宋简体"/>
          <w:sz w:val="44"/>
          <w:szCs w:val="44"/>
          <w:lang w:eastAsia="zh-CN"/>
        </w:rPr>
      </w:pPr>
    </w:p>
    <w:p w14:paraId="3B30B91D">
      <w:pPr>
        <w:spacing w:line="534" w:lineRule="exact"/>
        <w:jc w:val="center"/>
        <w:rPr>
          <w:rFonts w:hint="eastAsia" w:ascii="方正小标宋简体" w:hAnsi="方正小标宋简体" w:eastAsia="方正小标宋简体" w:cs="方正小标宋简体"/>
          <w:sz w:val="44"/>
          <w:szCs w:val="44"/>
          <w:lang w:eastAsia="zh-CN"/>
        </w:rPr>
      </w:pPr>
    </w:p>
    <w:p w14:paraId="79330007">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关于广州市花都区2024年度第八十二批次城镇建设用地（花都汽车产业基地二期规划</w:t>
      </w:r>
    </w:p>
    <w:p w14:paraId="3C8F21C6">
      <w:pPr>
        <w:spacing w:line="534"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纵一路建设工程）的征地补偿安置方案</w:t>
      </w:r>
    </w:p>
    <w:p w14:paraId="2A148E4B">
      <w:pPr>
        <w:spacing w:before="7"/>
        <w:rPr>
          <w:rFonts w:hint="eastAsia" w:ascii="Adobe 黑体 Std R" w:hAnsi="Adobe 黑体 Std R" w:eastAsia="Adobe 黑体 Std R" w:cs="Adobe 黑体 Std R"/>
          <w:sz w:val="34"/>
          <w:szCs w:val="34"/>
          <w:lang w:eastAsia="zh-CN"/>
        </w:rPr>
      </w:pPr>
    </w:p>
    <w:p w14:paraId="11E65960">
      <w:pPr>
        <w:pStyle w:val="4"/>
        <w:spacing w:before="0" w:line="560" w:lineRule="exact"/>
        <w:ind w:left="0" w:firstLine="640" w:firstLineChars="200"/>
        <w:jc w:val="both"/>
        <w:rPr>
          <w:rFonts w:hint="eastAsia" w:ascii="仿宋_GB2312" w:hAnsi="仿宋_GB2312" w:eastAsia="仿宋_GB2312" w:cs="仿宋_GB2312"/>
          <w:spacing w:val="5"/>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秀全街</w:t>
      </w:r>
      <w:r>
        <w:rPr>
          <w:rFonts w:hint="eastAsia" w:ascii="仿宋_GB2312" w:hAnsi="仿宋_GB2312" w:eastAsia="仿宋_GB2312" w:cs="仿宋_GB2312"/>
          <w:lang w:eastAsia="zh-CN"/>
        </w:rPr>
        <w:t>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民政府拟征收广州市花都区秀全街</w:t>
      </w:r>
      <w:r>
        <w:rPr>
          <w:rFonts w:hint="eastAsia" w:eastAsia="仿宋_GB2312"/>
          <w:lang w:eastAsia="zh-CN"/>
        </w:rPr>
        <w:t>岐山村岐北经济合作社</w:t>
      </w:r>
      <w:r>
        <w:rPr>
          <w:rFonts w:hint="eastAsia" w:ascii="仿宋_GB2312" w:hAnsi="仿宋_GB2312" w:eastAsia="仿宋_GB2312" w:cs="仿宋_GB2312"/>
          <w:spacing w:val="5"/>
          <w:lang w:eastAsia="zh-CN"/>
        </w:rPr>
        <w:t>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eastAsia="zh-CN"/>
        </w:rPr>
        <w:t>0.1361公</w:t>
      </w:r>
      <w:r>
        <w:rPr>
          <w:rFonts w:ascii="Times New Roman" w:hAnsi="Times New Roman" w:eastAsia="仿宋_GB2312" w:cs="Times New Roman"/>
          <w:lang w:eastAsia="zh-CN"/>
        </w:rPr>
        <w:t>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14:paraId="24A2A62E">
      <w:pPr>
        <w:pStyle w:val="4"/>
        <w:spacing w:before="0" w:line="560" w:lineRule="exact"/>
        <w:ind w:left="0" w:firstLine="640" w:firstLineChars="200"/>
        <w:jc w:val="both"/>
        <w:rPr>
          <w:rFonts w:hint="eastAsia" w:ascii="黑体" w:hAnsi="黑体" w:eastAsia="黑体" w:cs="黑体"/>
          <w:lang w:eastAsia="zh-CN"/>
        </w:rPr>
      </w:pPr>
      <w:r>
        <w:rPr>
          <w:rFonts w:hint="eastAsia" w:ascii="黑体" w:hAnsi="黑体" w:eastAsia="黑体" w:cs="黑体"/>
          <w:lang w:eastAsia="zh-CN"/>
        </w:rPr>
        <w:t>一、征收范围</w:t>
      </w:r>
    </w:p>
    <w:p w14:paraId="0F3A6EF3">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拟征收土地位于广州市花都区秀全街岐山村岐北经济合作社范围内，</w:t>
      </w:r>
      <w:r>
        <w:rPr>
          <w:rFonts w:hint="eastAsia" w:ascii="Times New Roman" w:hAnsi="Times New Roman" w:eastAsia="仿宋_GB2312" w:cs="Times New Roman"/>
          <w:sz w:val="32"/>
          <w:szCs w:val="32"/>
          <w:lang w:eastAsia="zh-CN"/>
        </w:rPr>
        <w:t>实际征收土地范围以最终批准文件为准。</w:t>
      </w:r>
    </w:p>
    <w:p w14:paraId="04B46498">
      <w:pPr>
        <w:pStyle w:val="4"/>
        <w:spacing w:before="0" w:line="560" w:lineRule="exact"/>
        <w:ind w:left="0" w:firstLine="640" w:firstLineChars="200"/>
        <w:jc w:val="both"/>
        <w:rPr>
          <w:rFonts w:hint="eastAsia" w:ascii="黑体" w:hAnsi="黑体" w:eastAsia="黑体" w:cs="黑体"/>
          <w:lang w:eastAsia="zh-CN"/>
        </w:rPr>
      </w:pPr>
      <w:r>
        <w:rPr>
          <w:rFonts w:hint="eastAsia" w:ascii="黑体" w:hAnsi="黑体" w:eastAsia="黑体" w:cs="黑体"/>
          <w:lang w:eastAsia="zh-CN"/>
        </w:rPr>
        <w:t>二、征收目的</w:t>
      </w:r>
    </w:p>
    <w:p w14:paraId="3BE5C6B2">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根据《中华人民共和国土地管理法》第四十五条的规定，本次征收土地目的为，为了公共利益的需要，由政府组织实施的基础设施建设需要用地。</w:t>
      </w:r>
    </w:p>
    <w:p w14:paraId="0E96CF55">
      <w:pPr>
        <w:pStyle w:val="4"/>
        <w:spacing w:before="0" w:line="560" w:lineRule="exact"/>
        <w:ind w:left="0" w:firstLine="640" w:firstLineChars="200"/>
        <w:jc w:val="both"/>
        <w:rPr>
          <w:rFonts w:hint="eastAsia" w:ascii="黑体" w:hAnsi="黑体" w:eastAsia="黑体" w:cs="黑体"/>
          <w:lang w:eastAsia="zh-CN"/>
        </w:rPr>
      </w:pPr>
      <w:r>
        <w:rPr>
          <w:rFonts w:hint="eastAsia" w:ascii="黑体" w:hAnsi="黑体" w:eastAsia="黑体" w:cs="黑体"/>
          <w:lang w:eastAsia="zh-CN"/>
        </w:rPr>
        <w:t>三、土地现状</w:t>
      </w:r>
    </w:p>
    <w:p w14:paraId="2C44E22A">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14:paraId="55B09004">
      <w:pPr>
        <w:spacing w:line="560" w:lineRule="exact"/>
        <w:ind w:firstLine="640" w:firstLineChars="200"/>
        <w:rPr>
          <w:rFonts w:eastAsia="仿宋_GB2312"/>
          <w:sz w:val="32"/>
          <w:szCs w:val="32"/>
          <w:lang w:eastAsia="zh-CN"/>
        </w:rPr>
      </w:pPr>
      <w:r>
        <w:rPr>
          <w:rFonts w:ascii="Times New Roman" w:hAnsi="Times New Roman" w:eastAsia="仿宋_GB2312" w:cs="Times New Roman"/>
          <w:sz w:val="32"/>
          <w:szCs w:val="32"/>
          <w:lang w:eastAsia="zh-CN"/>
        </w:rPr>
        <w:t>拟征收广州市花都区秀全街岐山村岐北经济合作社</w:t>
      </w:r>
      <w:r>
        <w:rPr>
          <w:rFonts w:hint="eastAsia" w:eastAsia="仿宋_GB2312"/>
          <w:sz w:val="32"/>
          <w:szCs w:val="32"/>
          <w:lang w:eastAsia="zh-CN"/>
        </w:rPr>
        <w:t>属下的集体所有土地</w:t>
      </w:r>
      <w:r>
        <w:rPr>
          <w:rFonts w:hint="eastAsia" w:ascii="Times New Roman" w:hAnsi="Times New Roman" w:eastAsia="仿宋_GB2312" w:cs="Times New Roman"/>
          <w:sz w:val="32"/>
          <w:szCs w:val="32"/>
          <w:lang w:eastAsia="zh-CN"/>
        </w:rPr>
        <w:t>0.1361</w:t>
      </w:r>
      <w:r>
        <w:rPr>
          <w:rFonts w:hint="eastAsia" w:eastAsia="仿宋_GB2312"/>
          <w:sz w:val="32"/>
          <w:szCs w:val="32"/>
          <w:lang w:eastAsia="zh-CN"/>
        </w:rPr>
        <w:t>公顷（</w:t>
      </w:r>
      <w:r>
        <w:rPr>
          <w:rFonts w:hint="eastAsia" w:ascii="Times New Roman" w:hAnsi="Times New Roman" w:eastAsia="仿宋_GB2312" w:cs="Times New Roman"/>
          <w:sz w:val="32"/>
          <w:szCs w:val="32"/>
          <w:lang w:eastAsia="zh-CN"/>
        </w:rPr>
        <w:t>2.0415</w:t>
      </w:r>
      <w:r>
        <w:rPr>
          <w:rFonts w:hint="eastAsia" w:eastAsia="仿宋_GB2312"/>
          <w:sz w:val="32"/>
          <w:szCs w:val="32"/>
          <w:lang w:eastAsia="zh-CN"/>
        </w:rPr>
        <w:t>亩），涉及农用地</w:t>
      </w:r>
      <w:r>
        <w:rPr>
          <w:rFonts w:hint="eastAsia" w:ascii="Times New Roman" w:hAnsi="Times New Roman" w:eastAsia="仿宋_GB2312" w:cs="Times New Roman"/>
          <w:sz w:val="32"/>
          <w:szCs w:val="32"/>
          <w:lang w:eastAsia="zh-CN"/>
        </w:rPr>
        <w:t>0.1361公顷（2.0415亩），不涉及耕地</w:t>
      </w:r>
      <w:r>
        <w:rPr>
          <w:rFonts w:hint="eastAsia" w:eastAsia="仿宋_GB2312"/>
          <w:sz w:val="32"/>
          <w:szCs w:val="32"/>
          <w:lang w:eastAsia="zh-CN"/>
        </w:rPr>
        <w:t>；不涉及建设用地和未利用地。</w:t>
      </w:r>
    </w:p>
    <w:p w14:paraId="3DD1775F">
      <w:pPr>
        <w:pStyle w:val="4"/>
        <w:spacing w:before="0" w:line="560" w:lineRule="exact"/>
        <w:ind w:left="0" w:firstLine="640" w:firstLineChars="200"/>
        <w:jc w:val="both"/>
        <w:rPr>
          <w:rFonts w:hint="eastAsia" w:ascii="黑体" w:hAnsi="黑体" w:eastAsia="黑体" w:cs="黑体"/>
          <w:lang w:eastAsia="zh-CN"/>
        </w:rPr>
      </w:pPr>
      <w:r>
        <w:rPr>
          <w:rFonts w:hint="eastAsia" w:ascii="黑体" w:hAnsi="黑体" w:eastAsia="黑体" w:cs="黑体"/>
          <w:lang w:eastAsia="zh-CN"/>
        </w:rPr>
        <w:t>四、补偿方式和标准</w:t>
      </w:r>
    </w:p>
    <w:p w14:paraId="3EE87519">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14:paraId="6B48E755">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土地补偿标准为120万元/公顷，安置补助标准为120万元/公顷。</w:t>
      </w:r>
    </w:p>
    <w:p w14:paraId="5F02B551">
      <w:pPr>
        <w:spacing w:line="560" w:lineRule="exact"/>
        <w:ind w:firstLine="640" w:firstLineChars="200"/>
        <w:jc w:val="both"/>
        <w:rPr>
          <w:rFonts w:hint="eastAsia" w:ascii="楷体" w:hAnsi="楷体" w:eastAsia="楷体" w:cs="楷体"/>
          <w:sz w:val="32"/>
          <w:szCs w:val="32"/>
          <w:lang w:eastAsia="zh-CN"/>
        </w:rPr>
      </w:pPr>
      <w:r>
        <w:rPr>
          <w:rFonts w:ascii="楷体" w:hAnsi="楷体" w:eastAsia="楷体" w:cs="楷体"/>
          <w:sz w:val="32"/>
          <w:szCs w:val="32"/>
          <w:lang w:eastAsia="zh-CN"/>
        </w:rPr>
        <w:t>（二）农村村民住宅补偿</w:t>
      </w:r>
    </w:p>
    <w:p w14:paraId="249A76CB">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14:paraId="0883AECC">
      <w:pPr>
        <w:spacing w:line="560" w:lineRule="exact"/>
        <w:ind w:firstLine="640" w:firstLineChars="200"/>
        <w:jc w:val="both"/>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14:paraId="02210B39">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青苗及其他地上附着物补偿</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r>
        <w:rPr>
          <w:rFonts w:ascii="Times New Roman" w:hAnsi="Times New Roman" w:eastAsia="仿宋_GB2312" w:cs="Times New Roman"/>
          <w:sz w:val="32"/>
          <w:szCs w:val="32"/>
          <w:lang w:eastAsia="zh-CN"/>
        </w:rPr>
        <w:t>。</w:t>
      </w:r>
    </w:p>
    <w:p w14:paraId="28E3EBEC">
      <w:pPr>
        <w:pStyle w:val="4"/>
        <w:spacing w:before="0" w:line="560" w:lineRule="exact"/>
        <w:ind w:left="0" w:firstLine="640" w:firstLineChars="200"/>
        <w:jc w:val="both"/>
        <w:rPr>
          <w:rFonts w:hint="eastAsia" w:ascii="黑体" w:hAnsi="黑体" w:eastAsia="黑体" w:cs="黑体"/>
          <w:lang w:eastAsia="zh-CN"/>
        </w:rPr>
      </w:pPr>
      <w:r>
        <w:rPr>
          <w:rFonts w:hint="eastAsia" w:ascii="黑体" w:hAnsi="黑体" w:eastAsia="黑体" w:cs="黑体"/>
          <w:lang w:eastAsia="zh-CN"/>
        </w:rPr>
        <w:t>五、安置对象</w:t>
      </w:r>
    </w:p>
    <w:p w14:paraId="704DD7AB">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14:paraId="6A084D7E">
      <w:pPr>
        <w:pStyle w:val="4"/>
        <w:spacing w:before="0" w:line="560" w:lineRule="exact"/>
        <w:ind w:left="0" w:firstLine="640" w:firstLineChars="200"/>
        <w:jc w:val="both"/>
        <w:rPr>
          <w:rFonts w:hint="eastAsia" w:ascii="黑体" w:hAnsi="黑体" w:eastAsia="黑体" w:cs="黑体"/>
          <w:lang w:eastAsia="zh-CN"/>
        </w:rPr>
      </w:pPr>
      <w:r>
        <w:rPr>
          <w:rFonts w:hint="eastAsia" w:ascii="黑体" w:hAnsi="黑体" w:eastAsia="黑体" w:cs="黑体"/>
          <w:lang w:eastAsia="zh-CN"/>
        </w:rPr>
        <w:t>六、安置方式和社会保障</w:t>
      </w:r>
    </w:p>
    <w:p w14:paraId="65AC64E3">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14:paraId="3A756732">
      <w:pPr>
        <w:spacing w:line="56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lang w:eastAsia="zh-CN"/>
        </w:rPr>
        <w:t>（二）留用地安置。根据《印发广东省征收农村集体土地留用地管理办法（试行）的通知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（粤府办〔2009〕41号）、《广东省人民政府办公厅关于加强征收农村集体土地留用地安置管理工作的意见》（粤府办〔2016〕30号）相关规定，按实际征收土地面积的10%安排留用地，</w:t>
      </w:r>
      <w:r>
        <w:rPr>
          <w:rFonts w:ascii="Times New Roman" w:hAnsi="Times New Roman" w:eastAsia="仿宋_GB2312" w:cs="Times New Roman"/>
          <w:sz w:val="32"/>
          <w:szCs w:val="32"/>
          <w:shd w:val="clear" w:color="auto"/>
          <w:lang w:eastAsia="zh-CN"/>
        </w:rPr>
        <w:t>留用地兑现方式为</w:t>
      </w:r>
      <w:r>
        <w:rPr>
          <w:rFonts w:hint="eastAsia" w:ascii="Times New Roman" w:hAnsi="Times New Roman" w:eastAsia="仿宋_GB2312" w:cs="Times New Roman"/>
          <w:sz w:val="32"/>
          <w:szCs w:val="32"/>
          <w:shd w:val="clear" w:color="auto"/>
          <w:lang w:eastAsia="zh-CN"/>
        </w:rPr>
        <w:t>实物留地</w:t>
      </w:r>
      <w:r>
        <w:rPr>
          <w:rFonts w:ascii="Times New Roman" w:hAnsi="Times New Roman" w:eastAsia="仿宋_GB2312" w:cs="Times New Roman"/>
          <w:sz w:val="32"/>
          <w:szCs w:val="32"/>
          <w:lang w:eastAsia="zh-CN"/>
        </w:rPr>
        <w:t>。</w:t>
      </w:r>
    </w:p>
    <w:p w14:paraId="6BD5DC7A">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核定该项目</w:t>
      </w:r>
      <w:r>
        <w:rPr>
          <w:rFonts w:hint="eastAsia" w:ascii="Times New Roman" w:hAnsi="Times New Roman" w:eastAsia="仿宋_GB2312" w:cs="Times New Roman"/>
          <w:sz w:val="32"/>
          <w:szCs w:val="32"/>
          <w:lang w:eastAsia="zh-CN"/>
        </w:rPr>
        <w:t>按2.14</w:t>
      </w:r>
      <w:r>
        <w:rPr>
          <w:rFonts w:hint="eastAsia" w:ascii="仿宋_GB2312" w:hAnsi="仿宋_GB2312" w:eastAsia="仿宋_GB2312" w:cs="仿宋_GB2312"/>
          <w:sz w:val="32"/>
          <w:szCs w:val="32"/>
          <w:lang w:eastAsia="zh-CN"/>
        </w:rPr>
        <w:t>万元/亩的标准</w:t>
      </w:r>
      <w:r>
        <w:rPr>
          <w:rFonts w:ascii="Times New Roman" w:hAnsi="Times New Roman" w:eastAsia="仿宋_GB2312" w:cs="Times New Roman"/>
          <w:sz w:val="32"/>
          <w:szCs w:val="32"/>
          <w:lang w:eastAsia="zh-CN"/>
        </w:rPr>
        <w:t>一次性</w:t>
      </w:r>
      <w:r>
        <w:rPr>
          <w:rFonts w:hint="eastAsia" w:ascii="Times New Roman" w:hAnsi="Times New Roman" w:eastAsia="仿宋_GB2312" w:cs="Times New Roman"/>
          <w:sz w:val="32"/>
          <w:szCs w:val="32"/>
          <w:lang w:eastAsia="zh-CN"/>
        </w:rPr>
        <w:t>将</w:t>
      </w:r>
      <w:r>
        <w:rPr>
          <w:rFonts w:ascii="Times New Roman" w:hAnsi="Times New Roman" w:eastAsia="仿宋_GB2312" w:cs="Times New Roman"/>
          <w:sz w:val="32"/>
          <w:szCs w:val="32"/>
          <w:lang w:eastAsia="zh-CN"/>
        </w:rPr>
        <w:t>集体被征地农民养老保障资金存入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收缴被征地农民养老保障资金过渡户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，费用合计</w:t>
      </w:r>
      <w:r>
        <w:rPr>
          <w:rFonts w:hint="eastAsia" w:ascii="Times New Roman" w:hAnsi="Times New Roman" w:eastAsia="仿宋_GB2312" w:cs="Times New Roman"/>
          <w:sz w:val="32"/>
          <w:szCs w:val="32"/>
          <w:shd w:val="clear" w:color="auto"/>
          <w:lang w:val="en-US" w:eastAsia="zh-CN"/>
        </w:rPr>
        <w:t>4.37</w:t>
      </w:r>
      <w:r>
        <w:rPr>
          <w:rFonts w:ascii="Times New Roman" w:hAnsi="Times New Roman" w:eastAsia="仿宋_GB2312" w:cs="Times New Roman"/>
          <w:sz w:val="32"/>
          <w:szCs w:val="32"/>
          <w:shd w:val="clear" w:color="auto"/>
          <w:lang w:eastAsia="zh-CN"/>
        </w:rPr>
        <w:t>万元</w:t>
      </w:r>
      <w:r>
        <w:rPr>
          <w:rFonts w:ascii="Times New Roman" w:hAnsi="Times New Roman" w:eastAsia="仿宋_GB2312" w:cs="Times New Roman"/>
          <w:sz w:val="32"/>
          <w:szCs w:val="32"/>
          <w:lang w:eastAsia="zh-CN"/>
        </w:rPr>
        <w:t>，专款用于被征地农民缴纳养老保险费用。征地批准文件批复的实际范围有变化的，费用将做相应调整。</w:t>
      </w:r>
    </w:p>
    <w:p w14:paraId="5707A904">
      <w:pPr>
        <w:pStyle w:val="4"/>
        <w:spacing w:before="0" w:line="437" w:lineRule="exact"/>
        <w:ind w:left="0" w:right="260"/>
        <w:jc w:val="right"/>
        <w:rPr>
          <w:rFonts w:hint="eastAsia" w:ascii="仿宋_GB2312" w:hAnsi="仿宋_GB2312" w:eastAsia="仿宋_GB2312" w:cs="仿宋_GB2312"/>
          <w:lang w:eastAsia="zh-CN"/>
        </w:rPr>
      </w:pPr>
    </w:p>
    <w:p w14:paraId="5EA75F70">
      <w:pPr>
        <w:pStyle w:val="4"/>
        <w:spacing w:before="0" w:line="437" w:lineRule="exact"/>
        <w:ind w:left="0" w:right="260"/>
        <w:jc w:val="right"/>
        <w:rPr>
          <w:rFonts w:ascii="仿宋_GB2312" w:hAnsi="仿宋_GB2312" w:eastAsia="仿宋_GB2312" w:cs="仿宋_GB2312"/>
          <w:lang w:eastAsia="zh-CN"/>
        </w:rPr>
      </w:pPr>
    </w:p>
    <w:p w14:paraId="67028E0D">
      <w:pPr>
        <w:pStyle w:val="4"/>
        <w:spacing w:before="0" w:line="437" w:lineRule="exact"/>
        <w:ind w:left="0" w:right="260"/>
        <w:jc w:val="right"/>
        <w:rPr>
          <w:rFonts w:hint="eastAsia" w:ascii="仿宋_GB2312" w:hAnsi="仿宋_GB2312" w:eastAsia="仿宋_GB2312" w:cs="仿宋_GB2312"/>
          <w:lang w:eastAsia="zh-CN"/>
        </w:rPr>
      </w:pPr>
    </w:p>
    <w:p w14:paraId="2A09ECD5">
      <w:pPr>
        <w:pStyle w:val="4"/>
        <w:spacing w:before="0" w:line="560" w:lineRule="exact"/>
        <w:ind w:left="0" w:right="261"/>
        <w:jc w:val="right"/>
        <w:rPr>
          <w:rFonts w:hint="eastAsia"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14:paraId="0512D9D2">
      <w:pPr>
        <w:pStyle w:val="4"/>
        <w:spacing w:line="560" w:lineRule="exact"/>
        <w:ind w:left="0" w:right="261"/>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4</w:t>
      </w:r>
      <w:r>
        <w:rPr>
          <w:rFonts w:ascii="Times New Roman" w:hAnsi="Times New Roman" w:eastAsia="仿宋_GB2312" w:cs="Times New Roman"/>
        </w:rPr>
        <w:t>年</w:t>
      </w:r>
      <w:r>
        <w:rPr>
          <w:rFonts w:hint="eastAsia" w:ascii="Times New Roman" w:hAnsi="Times New Roman" w:eastAsia="仿宋_GB2312" w:cs="Times New Roman"/>
          <w:lang w:val="en-US" w:eastAsia="zh-CN"/>
        </w:rPr>
        <w:t>11</w:t>
      </w:r>
      <w:r>
        <w:rPr>
          <w:rFonts w:ascii="Times New Roman" w:hAnsi="Times New Roman" w:eastAsia="仿宋_GB2312" w:cs="Times New Roman"/>
        </w:rPr>
        <w:t>月</w:t>
      </w:r>
      <w:r>
        <w:rPr>
          <w:rFonts w:hint="eastAsia" w:ascii="Times New Roman" w:hAnsi="Times New Roman" w:eastAsia="仿宋_GB2312" w:cs="Times New Roman"/>
          <w:lang w:val="en-US" w:eastAsia="zh-CN"/>
        </w:rPr>
        <w:t>26</w:t>
      </w:r>
      <w:bookmarkStart w:id="0" w:name="_GoBack"/>
      <w:bookmarkEnd w:id="0"/>
      <w:r>
        <w:rPr>
          <w:rFonts w:ascii="Times New Roman" w:hAnsi="Times New Roman" w:eastAsia="仿宋_GB2312" w:cs="Times New Roman"/>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83E6C">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BCA5FE7">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12A33"/>
    <w:rsid w:val="00023D1D"/>
    <w:rsid w:val="00087FC9"/>
    <w:rsid w:val="000C21D6"/>
    <w:rsid w:val="000E3907"/>
    <w:rsid w:val="001A0BB8"/>
    <w:rsid w:val="001A1F6A"/>
    <w:rsid w:val="0020273F"/>
    <w:rsid w:val="002A343D"/>
    <w:rsid w:val="002F2545"/>
    <w:rsid w:val="00345770"/>
    <w:rsid w:val="00371629"/>
    <w:rsid w:val="0037606F"/>
    <w:rsid w:val="004E23CE"/>
    <w:rsid w:val="004F014A"/>
    <w:rsid w:val="004F4AB3"/>
    <w:rsid w:val="00501389"/>
    <w:rsid w:val="00510062"/>
    <w:rsid w:val="00583581"/>
    <w:rsid w:val="005A4BAB"/>
    <w:rsid w:val="00606DD4"/>
    <w:rsid w:val="006446B9"/>
    <w:rsid w:val="007017B3"/>
    <w:rsid w:val="007905B8"/>
    <w:rsid w:val="00812E7C"/>
    <w:rsid w:val="008620FD"/>
    <w:rsid w:val="00890462"/>
    <w:rsid w:val="008E0F0A"/>
    <w:rsid w:val="00910F80"/>
    <w:rsid w:val="00916110"/>
    <w:rsid w:val="009462E9"/>
    <w:rsid w:val="00953156"/>
    <w:rsid w:val="009C2DE4"/>
    <w:rsid w:val="00A60847"/>
    <w:rsid w:val="00AE0CC4"/>
    <w:rsid w:val="00AF5BE0"/>
    <w:rsid w:val="00B15EE1"/>
    <w:rsid w:val="00B749E6"/>
    <w:rsid w:val="00B95BB3"/>
    <w:rsid w:val="00BF52D8"/>
    <w:rsid w:val="00C07288"/>
    <w:rsid w:val="00C525F8"/>
    <w:rsid w:val="00C946D4"/>
    <w:rsid w:val="00E56C97"/>
    <w:rsid w:val="00EA0DDD"/>
    <w:rsid w:val="00EB0E65"/>
    <w:rsid w:val="00F04619"/>
    <w:rsid w:val="00F04F89"/>
    <w:rsid w:val="00F869B9"/>
    <w:rsid w:val="022A33E1"/>
    <w:rsid w:val="02B47861"/>
    <w:rsid w:val="038E7DC7"/>
    <w:rsid w:val="04654DC4"/>
    <w:rsid w:val="0822151D"/>
    <w:rsid w:val="08682950"/>
    <w:rsid w:val="08D87341"/>
    <w:rsid w:val="09780AAB"/>
    <w:rsid w:val="0AAF45C2"/>
    <w:rsid w:val="0BC12118"/>
    <w:rsid w:val="0C890300"/>
    <w:rsid w:val="0C8B0FF0"/>
    <w:rsid w:val="0F064AD5"/>
    <w:rsid w:val="1133035D"/>
    <w:rsid w:val="11CE11EC"/>
    <w:rsid w:val="130143BE"/>
    <w:rsid w:val="161B7A15"/>
    <w:rsid w:val="162B00EE"/>
    <w:rsid w:val="16D8728E"/>
    <w:rsid w:val="16E50DE0"/>
    <w:rsid w:val="19977D8A"/>
    <w:rsid w:val="19C85B71"/>
    <w:rsid w:val="1C235EFF"/>
    <w:rsid w:val="1D350BA9"/>
    <w:rsid w:val="1E034DBD"/>
    <w:rsid w:val="1EEA2AA6"/>
    <w:rsid w:val="219E39B8"/>
    <w:rsid w:val="24510545"/>
    <w:rsid w:val="249657CF"/>
    <w:rsid w:val="249E3323"/>
    <w:rsid w:val="25477C36"/>
    <w:rsid w:val="264D6EA8"/>
    <w:rsid w:val="288A0F78"/>
    <w:rsid w:val="29C73F17"/>
    <w:rsid w:val="2A2850B2"/>
    <w:rsid w:val="2BE439BC"/>
    <w:rsid w:val="2BE83DDD"/>
    <w:rsid w:val="2D2059DC"/>
    <w:rsid w:val="2F2F33BB"/>
    <w:rsid w:val="3071123E"/>
    <w:rsid w:val="31035DBC"/>
    <w:rsid w:val="31BB5C7A"/>
    <w:rsid w:val="32F51B26"/>
    <w:rsid w:val="33085EB0"/>
    <w:rsid w:val="34394804"/>
    <w:rsid w:val="34CC172C"/>
    <w:rsid w:val="38600159"/>
    <w:rsid w:val="39A42B0C"/>
    <w:rsid w:val="3A1C0A7A"/>
    <w:rsid w:val="3B8E0546"/>
    <w:rsid w:val="3CBA3269"/>
    <w:rsid w:val="3D4536F5"/>
    <w:rsid w:val="44A61FBA"/>
    <w:rsid w:val="46753A21"/>
    <w:rsid w:val="468726E8"/>
    <w:rsid w:val="47EA5951"/>
    <w:rsid w:val="4ACB0C56"/>
    <w:rsid w:val="4D4F0EAF"/>
    <w:rsid w:val="4F536F5C"/>
    <w:rsid w:val="4FDC68BF"/>
    <w:rsid w:val="505F6CEB"/>
    <w:rsid w:val="50715987"/>
    <w:rsid w:val="53D675C5"/>
    <w:rsid w:val="54382FF3"/>
    <w:rsid w:val="54BD20F1"/>
    <w:rsid w:val="54E02594"/>
    <w:rsid w:val="56FA52CA"/>
    <w:rsid w:val="58502C4E"/>
    <w:rsid w:val="593068F9"/>
    <w:rsid w:val="5AA00541"/>
    <w:rsid w:val="5B90458F"/>
    <w:rsid w:val="5D0866EA"/>
    <w:rsid w:val="5D132772"/>
    <w:rsid w:val="5D3C0503"/>
    <w:rsid w:val="5EF369C2"/>
    <w:rsid w:val="5F7D66C9"/>
    <w:rsid w:val="62844552"/>
    <w:rsid w:val="63714235"/>
    <w:rsid w:val="6488303F"/>
    <w:rsid w:val="64ED2421"/>
    <w:rsid w:val="65C10F06"/>
    <w:rsid w:val="671A7149"/>
    <w:rsid w:val="682968DB"/>
    <w:rsid w:val="682D49C8"/>
    <w:rsid w:val="69E06A0A"/>
    <w:rsid w:val="6A4E2318"/>
    <w:rsid w:val="6B015D7A"/>
    <w:rsid w:val="6DB30687"/>
    <w:rsid w:val="6F8C3791"/>
    <w:rsid w:val="708E5910"/>
    <w:rsid w:val="70E91BB0"/>
    <w:rsid w:val="71C65C86"/>
    <w:rsid w:val="7473278D"/>
    <w:rsid w:val="747B57C1"/>
    <w:rsid w:val="75B44CF4"/>
    <w:rsid w:val="768B3F84"/>
    <w:rsid w:val="76910A96"/>
    <w:rsid w:val="786971C9"/>
    <w:rsid w:val="78EA6370"/>
    <w:rsid w:val="7A314473"/>
    <w:rsid w:val="7A3D7256"/>
    <w:rsid w:val="7A674FA1"/>
    <w:rsid w:val="7D5135A2"/>
    <w:rsid w:val="7E1D286D"/>
    <w:rsid w:val="7E391B3F"/>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字符"/>
    <w:basedOn w:val="9"/>
    <w:link w:val="5"/>
    <w:qFormat/>
    <w:uiPriority w:val="0"/>
    <w:rPr>
      <w:rFonts w:asciiTheme="minorHAnsi" w:hAnsiTheme="minorHAnsi" w:eastAsiaTheme="minorHAnsi" w:cstheme="minorBidi"/>
      <w:sz w:val="18"/>
      <w:szCs w:val="18"/>
      <w:lang w:eastAsia="en-US"/>
    </w:rPr>
  </w:style>
  <w:style w:type="character" w:customStyle="1" w:styleId="14">
    <w:name w:val="页脚 字符"/>
    <w:basedOn w:val="9"/>
    <w:link w:val="6"/>
    <w:qFormat/>
    <w:uiPriority w:val="0"/>
    <w:rPr>
      <w:rFonts w:asciiTheme="minorHAnsi" w:hAnsiTheme="minorHAnsi" w:eastAsiaTheme="minorHAnsi" w:cstheme="minorBidi"/>
      <w:sz w:val="18"/>
      <w:szCs w:val="18"/>
      <w:lang w:eastAsia="en-US"/>
    </w:rPr>
  </w:style>
  <w:style w:type="paragraph" w:customStyle="1" w:styleId="15">
    <w:name w:val="修订1"/>
    <w:hidden/>
    <w:unhideWhenUsed/>
    <w:qFormat/>
    <w:uiPriority w:val="99"/>
    <w:rPr>
      <w:rFonts w:asciiTheme="minorHAnsi" w:hAnsiTheme="minorHAnsi" w:eastAsiaTheme="minorHAnsi" w:cstheme="minorBidi"/>
      <w:sz w:val="22"/>
      <w:szCs w:val="22"/>
      <w:lang w:val="en-US" w:eastAsia="en-US" w:bidi="ar-SA"/>
    </w:rPr>
  </w:style>
  <w:style w:type="paragraph" w:customStyle="1" w:styleId="16">
    <w:name w:val="Revision"/>
    <w:hidden/>
    <w:unhideWhenUsed/>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209</Words>
  <Characters>1195</Characters>
  <Lines>9</Lines>
  <Paragraphs>2</Paragraphs>
  <TotalTime>35</TotalTime>
  <ScaleCrop>false</ScaleCrop>
  <LinksUpToDate>false</LinksUpToDate>
  <CharactersWithSpaces>1402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2024-08-06T02:50:00Z</cp:lastPrinted>
  <dcterms:modified xsi:type="dcterms:W3CDTF">2024-11-26T08:24:54Z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