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关于广州市花都区2024年度第</w:t>
      </w:r>
      <w:r>
        <w:rPr>
          <w:rFonts w:hint="default" w:ascii="Times New Roman" w:hAnsi="Times New Roman" w:eastAsia="方正小标宋简体" w:cs="Times New Roman"/>
          <w:sz w:val="44"/>
          <w:szCs w:val="44"/>
          <w:lang w:eastAsia="zh-CN"/>
        </w:rPr>
        <w:t>五十四</w:t>
      </w:r>
      <w:r>
        <w:rPr>
          <w:rFonts w:hint="default" w:ascii="Times New Roman" w:hAnsi="Times New Roman" w:eastAsia="方正小标宋简体" w:cs="Times New Roman"/>
          <w:sz w:val="44"/>
          <w:szCs w:val="44"/>
        </w:rPr>
        <w:t>批次城镇建设用地（</w:t>
      </w:r>
      <w:r>
        <w:rPr>
          <w:rFonts w:hint="default" w:ascii="Times New Roman" w:hAnsi="Times New Roman" w:eastAsia="方正小标宋简体" w:cs="Times New Roman"/>
          <w:sz w:val="44"/>
          <w:szCs w:val="44"/>
          <w:lang w:eastAsia="zh-CN"/>
        </w:rPr>
        <w:t>体育公园中一地块</w:t>
      </w:r>
      <w:r>
        <w:rPr>
          <w:rFonts w:hint="default" w:ascii="Times New Roman" w:hAnsi="Times New Roman" w:eastAsia="方正小标宋简体" w:cs="Times New Roman"/>
          <w:sz w:val="44"/>
          <w:szCs w:val="44"/>
        </w:rPr>
        <w:t>）的</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w:t>
      </w:r>
      <w:r>
        <w:rPr>
          <w:rFonts w:hint="default" w:ascii="Times New Roman" w:hAnsi="Times New Roman" w:eastAsia="仿宋_GB2312" w:cs="Times New Roman"/>
          <w:sz w:val="32"/>
        </w:rPr>
        <w:t>广州市花都区</w:t>
      </w:r>
      <w:r>
        <w:rPr>
          <w:rFonts w:hint="default" w:ascii="Times New Roman" w:hAnsi="Times New Roman" w:eastAsia="仿宋_GB2312" w:cs="Times New Roman"/>
          <w:sz w:val="32"/>
          <w:szCs w:val="32"/>
          <w:lang w:eastAsia="zh-CN"/>
        </w:rPr>
        <w:t>花城街</w:t>
      </w:r>
      <w:r>
        <w:rPr>
          <w:rFonts w:hint="default" w:ascii="Times New Roman" w:hAnsi="Times New Roman" w:eastAsia="仿宋_GB2312" w:cs="Times New Roman"/>
          <w:sz w:val="32"/>
          <w:szCs w:val="32"/>
        </w:rPr>
        <w:t>建设规划，完善城市功能，改善城市环境，促进经济、文化发展，广州市花都区人民政府拟征收广州市花都区</w:t>
      </w:r>
      <w:r>
        <w:rPr>
          <w:rFonts w:hint="default" w:ascii="Times New Roman" w:hAnsi="Times New Roman" w:eastAsia="仿宋_GB2312" w:cs="Times New Roman"/>
          <w:sz w:val="32"/>
          <w:szCs w:val="32"/>
          <w:lang w:eastAsia="zh-CN"/>
        </w:rPr>
        <w:t>花城街石岗村</w:t>
      </w:r>
      <w:r>
        <w:rPr>
          <w:rFonts w:hint="default" w:ascii="Times New Roman" w:hAnsi="Times New Roman" w:eastAsia="仿宋_GB2312" w:cs="Times New Roman"/>
          <w:sz w:val="32"/>
          <w:szCs w:val="32"/>
        </w:rPr>
        <w:t>经济联合社</w:t>
      </w:r>
      <w:r>
        <w:rPr>
          <w:rFonts w:hint="default" w:ascii="Times New Roman" w:hAnsi="Times New Roman" w:eastAsia="仿宋_GB2312" w:cs="Times New Roman"/>
          <w:sz w:val="32"/>
          <w:szCs w:val="32"/>
          <w:lang w:eastAsia="zh-CN"/>
        </w:rPr>
        <w:t>，</w:t>
      </w:r>
      <w:del w:id="0" w:author="陈湘鹏" w:date="2024-09-29T14:54:16Z">
        <w:r>
          <w:rPr>
            <w:rFonts w:hint="default" w:ascii="Times New Roman" w:hAnsi="Times New Roman" w:eastAsia="仿宋_GB2312" w:cs="Times New Roman"/>
            <w:sz w:val="32"/>
            <w:szCs w:val="32"/>
            <w:lang w:eastAsia="zh-CN"/>
          </w:rPr>
          <w:delText>石岗村</w:delText>
        </w:r>
      </w:del>
      <w:r>
        <w:rPr>
          <w:rFonts w:hint="default" w:ascii="Times New Roman" w:hAnsi="Times New Roman" w:eastAsia="仿宋_GB2312" w:cs="Times New Roman"/>
          <w:sz w:val="32"/>
          <w:szCs w:val="32"/>
          <w:lang w:eastAsia="zh-CN"/>
        </w:rPr>
        <w:t>上升三四经济合作社，</w:t>
      </w:r>
      <w:del w:id="1" w:author="陈湘鹏" w:date="2024-09-29T14:54:18Z">
        <w:bookmarkStart w:id="4" w:name="_GoBack"/>
        <w:bookmarkEnd w:id="4"/>
        <w:r>
          <w:rPr>
            <w:rFonts w:hint="default" w:ascii="Times New Roman" w:hAnsi="Times New Roman" w:eastAsia="仿宋_GB2312" w:cs="Times New Roman"/>
            <w:sz w:val="32"/>
            <w:szCs w:val="32"/>
            <w:lang w:eastAsia="zh-CN"/>
          </w:rPr>
          <w:delText>石岗</w:delText>
        </w:r>
      </w:del>
      <w:r>
        <w:rPr>
          <w:rFonts w:hint="default" w:ascii="Times New Roman" w:hAnsi="Times New Roman" w:eastAsia="仿宋_GB2312" w:cs="Times New Roman"/>
          <w:sz w:val="32"/>
          <w:szCs w:val="32"/>
          <w:lang w:eastAsia="zh-CN"/>
        </w:rPr>
        <w:t>上升二经济合作社、上升五经济合作社、上升一经济合作社（共有），上升二经济合作社、上升一经济合作社（共有），上升三四经济合作社</w:t>
      </w:r>
      <w:r>
        <w:rPr>
          <w:rFonts w:hint="default" w:ascii="Times New Roman" w:hAnsi="Times New Roman" w:eastAsia="仿宋_GB2312" w:cs="Times New Roman"/>
          <w:sz w:val="32"/>
        </w:rPr>
        <w:t>属下的集体土地</w:t>
      </w:r>
      <w:r>
        <w:rPr>
          <w:rFonts w:hint="default" w:ascii="Times New Roman" w:hAnsi="Times New Roman" w:eastAsia="仿宋_GB2312" w:cs="Times New Roman"/>
          <w:sz w:val="32"/>
          <w:lang w:val="en-US" w:eastAsia="zh-CN"/>
        </w:rPr>
        <w:t>10.3012</w:t>
      </w:r>
      <w:r>
        <w:rPr>
          <w:rFonts w:hint="default" w:ascii="Times New Roman" w:hAnsi="Times New Roman" w:eastAsia="仿宋_GB2312" w:cs="Times New Roman"/>
          <w:sz w:val="32"/>
        </w:rPr>
        <w:t>公顷。</w:t>
      </w:r>
      <w:r>
        <w:rPr>
          <w:rFonts w:hint="default" w:ascii="Times New Roman" w:hAnsi="Times New Roman" w:eastAsia="仿宋_GB2312" w:cs="Times New Roman"/>
          <w:sz w:val="32"/>
          <w:szCs w:val="32"/>
        </w:rPr>
        <w:t>根据《中华人民共和国土地管理法》第二条、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一、征收范围</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bookmarkStart w:id="0" w:name="_Hlk161301917"/>
      <w:r>
        <w:rPr>
          <w:rFonts w:hint="default" w:ascii="Times New Roman" w:hAnsi="Times New Roman" w:eastAsia="仿宋_GB2312" w:cs="Times New Roman"/>
          <w:bCs/>
          <w:sz w:val="32"/>
          <w:szCs w:val="32"/>
        </w:rPr>
        <w:t>拟征收土地位于</w:t>
      </w:r>
      <w:r>
        <w:rPr>
          <w:rFonts w:hint="default" w:ascii="Times New Roman" w:hAnsi="Times New Roman" w:eastAsia="仿宋_GB2312" w:cs="Times New Roman"/>
          <w:sz w:val="32"/>
          <w:szCs w:val="32"/>
        </w:rPr>
        <w:t>广州市花都区</w:t>
      </w:r>
      <w:r>
        <w:rPr>
          <w:rFonts w:hint="default" w:ascii="Times New Roman" w:hAnsi="Times New Roman" w:eastAsia="仿宋_GB2312" w:cs="Times New Roman"/>
          <w:sz w:val="32"/>
          <w:szCs w:val="32"/>
          <w:lang w:eastAsia="zh-CN"/>
        </w:rPr>
        <w:t>花城街石岗村</w:t>
      </w:r>
      <w:r>
        <w:rPr>
          <w:rFonts w:hint="default" w:ascii="Times New Roman" w:hAnsi="Times New Roman" w:eastAsia="仿宋_GB2312" w:cs="Times New Roman"/>
          <w:sz w:val="32"/>
          <w:szCs w:val="32"/>
        </w:rPr>
        <w:t>经济联合社</w:t>
      </w:r>
      <w:r>
        <w:rPr>
          <w:rFonts w:hint="default" w:ascii="Times New Roman" w:hAnsi="Times New Roman" w:eastAsia="仿宋_GB2312" w:cs="Times New Roman"/>
          <w:sz w:val="32"/>
          <w:szCs w:val="32"/>
          <w:lang w:eastAsia="zh-CN"/>
        </w:rPr>
        <w:t>，上升三四经济合作社，上升二经济合作社、上升五经济合作社、上升一经济合作社（共有），上升二经济合作社、上升一经济合作社（共有），上升三四经济合作社</w:t>
      </w:r>
      <w:r>
        <w:rPr>
          <w:rFonts w:hint="default" w:ascii="Times New Roman" w:hAnsi="Times New Roman" w:eastAsia="仿宋_GB2312" w:cs="Times New Roman"/>
          <w:bCs/>
          <w:sz w:val="32"/>
          <w:szCs w:val="32"/>
        </w:rPr>
        <w:t>范围内</w:t>
      </w:r>
      <w:bookmarkEnd w:id="0"/>
      <w:r>
        <w:rPr>
          <w:rFonts w:hint="default" w:ascii="Times New Roman" w:hAnsi="Times New Roman" w:eastAsia="仿宋_GB2312" w:cs="Times New Roman"/>
          <w:bCs/>
          <w:sz w:val="32"/>
          <w:szCs w:val="32"/>
        </w:rPr>
        <w:t>。实际征收土地范围以最终批准文件为准。</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二、征收目的</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bookmarkStart w:id="1" w:name="_Hlk142467650"/>
      <w:r>
        <w:rPr>
          <w:rFonts w:hint="default" w:ascii="Times New Roman" w:hAnsi="Times New Roman" w:eastAsia="仿宋_GB2312" w:cs="Times New Roman"/>
          <w:bCs/>
          <w:sz w:val="32"/>
          <w:szCs w:val="32"/>
        </w:rPr>
        <w:t>根据《中华人民共和国土地管理法》第四十五条的规定，本次征收土地目的为，为了公共利益的需要，由政府组织实施的</w:t>
      </w:r>
      <w:r>
        <w:rPr>
          <w:rFonts w:hint="eastAsia" w:ascii="Times New Roman" w:hAnsi="Times New Roman" w:eastAsia="仿宋_GB2312" w:cs="Times New Roman"/>
          <w:bCs/>
          <w:sz w:val="32"/>
          <w:szCs w:val="32"/>
          <w:lang w:eastAsia="zh-CN"/>
        </w:rPr>
        <w:t>公共事业</w:t>
      </w:r>
      <w:r>
        <w:rPr>
          <w:rFonts w:hint="default" w:ascii="Times New Roman" w:hAnsi="Times New Roman" w:eastAsia="仿宋_GB2312" w:cs="Times New Roman"/>
          <w:bCs/>
          <w:sz w:val="32"/>
          <w:szCs w:val="32"/>
        </w:rPr>
        <w:t>。</w:t>
      </w:r>
    </w:p>
    <w:bookmarkEnd w:id="1"/>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三、土地现状</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根据拟征收土地现状调查结果，拟征收土地现状为：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bookmarkStart w:id="2" w:name="_Hlk155255234"/>
      <w:r>
        <w:rPr>
          <w:rFonts w:hint="default" w:ascii="Times New Roman" w:hAnsi="Times New Roman" w:eastAsia="仿宋_GB2312" w:cs="Times New Roman"/>
          <w:sz w:val="32"/>
          <w:szCs w:val="32"/>
        </w:rPr>
        <w:t>拟征收广州市花都区</w:t>
      </w:r>
      <w:r>
        <w:rPr>
          <w:rFonts w:hint="default" w:ascii="Times New Roman" w:hAnsi="Times New Roman" w:eastAsia="仿宋_GB2312" w:cs="Times New Roman"/>
          <w:sz w:val="32"/>
          <w:szCs w:val="32"/>
          <w:lang w:eastAsia="zh-CN"/>
        </w:rPr>
        <w:t>花城街石岗村</w:t>
      </w:r>
      <w:r>
        <w:rPr>
          <w:rFonts w:hint="default" w:ascii="Times New Roman" w:hAnsi="Times New Roman" w:eastAsia="仿宋_GB2312" w:cs="Times New Roman"/>
          <w:sz w:val="32"/>
          <w:szCs w:val="32"/>
        </w:rPr>
        <w:t>经济联合社</w:t>
      </w:r>
      <w:r>
        <w:rPr>
          <w:rFonts w:hint="default" w:ascii="Times New Roman" w:hAnsi="Times New Roman" w:eastAsia="仿宋_GB2312" w:cs="Times New Roman"/>
          <w:sz w:val="32"/>
          <w:szCs w:val="32"/>
          <w:lang w:eastAsia="zh-CN"/>
        </w:rPr>
        <w:t>，上升三四经济合作社，上升二经济合作社、上升五经济合作社、上升一经济合作社（共有），上升二经济合作社、上升一经济合作社（共有），上升三四经济合作社</w:t>
      </w:r>
      <w:r>
        <w:rPr>
          <w:rFonts w:hint="default" w:ascii="Times New Roman" w:hAnsi="Times New Roman" w:eastAsia="仿宋_GB2312" w:cs="Times New Roman"/>
          <w:sz w:val="32"/>
          <w:szCs w:val="32"/>
        </w:rPr>
        <w:t>集体所有土地</w:t>
      </w:r>
      <w:r>
        <w:rPr>
          <w:rFonts w:hint="default" w:ascii="Times New Roman" w:hAnsi="Times New Roman" w:eastAsia="仿宋_GB2312" w:cs="Times New Roman"/>
          <w:sz w:val="32"/>
          <w:szCs w:val="32"/>
          <w:lang w:val="en-US" w:eastAsia="zh-CN"/>
        </w:rPr>
        <w:t>10.3012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154.5180</w:t>
      </w:r>
      <w:r>
        <w:rPr>
          <w:rFonts w:hint="default" w:ascii="Times New Roman" w:hAnsi="Times New Roman" w:eastAsia="仿宋_GB2312" w:cs="Times New Roman"/>
          <w:sz w:val="32"/>
          <w:szCs w:val="32"/>
        </w:rPr>
        <w:t>亩），其中建设用地</w:t>
      </w:r>
      <w:r>
        <w:rPr>
          <w:rFonts w:hint="default" w:ascii="Times New Roman" w:hAnsi="Times New Roman" w:eastAsia="仿宋_GB2312" w:cs="Times New Roman"/>
          <w:sz w:val="32"/>
          <w:szCs w:val="32"/>
          <w:lang w:val="en-US" w:eastAsia="zh-CN"/>
        </w:rPr>
        <w:t>10.3012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154.5180</w:t>
      </w:r>
      <w:r>
        <w:rPr>
          <w:rFonts w:hint="default" w:ascii="Times New Roman" w:hAnsi="Times New Roman" w:eastAsia="仿宋_GB2312" w:cs="Times New Roman"/>
          <w:sz w:val="32"/>
          <w:szCs w:val="32"/>
        </w:rPr>
        <w:t>亩），不涉及</w:t>
      </w:r>
      <w:r>
        <w:rPr>
          <w:rFonts w:hint="default" w:ascii="Times New Roman" w:hAnsi="Times New Roman" w:eastAsia="仿宋_GB2312" w:cs="Times New Roman"/>
          <w:sz w:val="32"/>
          <w:szCs w:val="32"/>
          <w:lang w:eastAsia="zh-CN"/>
        </w:rPr>
        <w:t>农用地和</w:t>
      </w:r>
      <w:r>
        <w:rPr>
          <w:rFonts w:hint="default" w:ascii="Times New Roman" w:hAnsi="Times New Roman" w:eastAsia="仿宋_GB2312" w:cs="Times New Roman"/>
          <w:sz w:val="32"/>
          <w:szCs w:val="32"/>
        </w:rPr>
        <w:t>未利用地</w:t>
      </w:r>
      <w:r>
        <w:rPr>
          <w:rFonts w:hint="default" w:ascii="Times New Roman" w:hAnsi="Times New Roman" w:eastAsia="仿宋_GB2312" w:cs="Times New Roman"/>
          <w:sz w:val="32"/>
          <w:szCs w:val="32"/>
          <w:lang w:eastAsia="zh-CN"/>
        </w:rPr>
        <w:t>。</w:t>
      </w:r>
    </w:p>
    <w:bookmarkEnd w:id="2"/>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bookmarkStart w:id="3" w:name="_Hlk161302113"/>
      <w:r>
        <w:rPr>
          <w:rFonts w:hint="default" w:ascii="Times New Roman" w:hAnsi="Times New Roman" w:eastAsia="仿宋_GB2312" w:cs="Times New Roman"/>
          <w:sz w:val="32"/>
          <w:szCs w:val="32"/>
        </w:rPr>
        <w:t>广东省自然资源厅关于广州市征收农用地区片综合地价成果的批复</w:t>
      </w:r>
      <w:bookmarkEnd w:id="3"/>
      <w:r>
        <w:rPr>
          <w:rFonts w:hint="default" w:ascii="Times New Roman" w:hAnsi="Times New Roman" w:eastAsia="仿宋_GB2312" w:cs="Times New Roman"/>
          <w:sz w:val="32"/>
          <w:szCs w:val="32"/>
        </w:rPr>
        <w:t>》（粤自然资函〔2024〕103号）的规定，农用地土地补偿标准为</w:t>
      </w:r>
      <w:r>
        <w:rPr>
          <w:rFonts w:hint="default"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万元/公顷，安置补助标准为</w:t>
      </w:r>
      <w:r>
        <w:rPr>
          <w:rFonts w:hint="default"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万元/公顷，</w:t>
      </w:r>
      <w:r>
        <w:rPr>
          <w:rFonts w:hint="default"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rPr>
        <w:t>土地补偿标准为</w:t>
      </w:r>
      <w:r>
        <w:rPr>
          <w:rFonts w:hint="default" w:ascii="Times New Roman" w:hAnsi="Times New Roman" w:eastAsia="仿宋_GB2312" w:cs="Times New Roman"/>
          <w:sz w:val="32"/>
          <w:szCs w:val="32"/>
          <w:lang w:val="en-US" w:eastAsia="zh-CN"/>
        </w:rPr>
        <w:t>240</w:t>
      </w:r>
      <w:r>
        <w:rPr>
          <w:rFonts w:hint="default" w:ascii="Times New Roman" w:hAnsi="Times New Roman" w:eastAsia="仿宋_GB2312" w:cs="Times New Roman"/>
          <w:sz w:val="32"/>
          <w:szCs w:val="32"/>
        </w:rPr>
        <w:t>万/公顷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建设用地土地补偿标准为</w:t>
      </w:r>
      <w:r>
        <w:rPr>
          <w:rFonts w:hint="default" w:ascii="Times New Roman" w:hAnsi="Times New Roman" w:eastAsia="仿宋_GB2312" w:cs="Times New Roman"/>
          <w:sz w:val="32"/>
          <w:szCs w:val="32"/>
          <w:lang w:val="en-US" w:eastAsia="zh-CN"/>
        </w:rPr>
        <w:t>240</w:t>
      </w:r>
      <w:r>
        <w:rPr>
          <w:rFonts w:hint="default" w:ascii="Times New Roman" w:hAnsi="Times New Roman" w:eastAsia="仿宋_GB2312" w:cs="Times New Roman"/>
          <w:sz w:val="32"/>
          <w:szCs w:val="32"/>
        </w:rPr>
        <w:t>万/公顷。</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（二）农村村民住宅补偿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本次征地不涉及农村村民住宅补偿。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（三）青苗及其他地上附着物补偿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青苗及其他地上附着物补偿参照《广州市花都区人民政府办公室印发花都区片区征地包干补偿工作方案的通知》（花府办〔</w:t>
      </w:r>
      <w:r>
        <w:rPr>
          <w:rFonts w:hint="default" w:ascii="Times New Roman" w:hAnsi="Times New Roman" w:eastAsia="仿宋" w:cs="Times New Roman"/>
          <w:sz w:val="32"/>
          <w:szCs w:val="32"/>
        </w:rPr>
        <w:t>2016</w:t>
      </w:r>
      <w:r>
        <w:rPr>
          <w:rFonts w:hint="default" w:ascii="Times New Roman" w:hAnsi="Times New Roman" w:eastAsia="仿宋_GB2312" w:cs="Times New Roman"/>
          <w:sz w:val="32"/>
          <w:szCs w:val="32"/>
        </w:rPr>
        <w:t>〕12号）的规定执行。</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五、安置对象</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六、安置方式和社会保障</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留用地安置。根据《印发广东省征收农村集体土地留用地管理办法（试行）的通知》（粤府办〔2009〕41号）、《广东省人民政府办公厅关于加强征收农村集体土地留用地安置管理工作的意见》（粤府办〔2016〕30号），按实际征收土地面积的10%安排留用地，留用地兑现方式为实物留地。</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万元/亩的标准一次性将集体被征地农民养老保障资金存入“收缴被征地农民养老保障资金过渡户”，费用合计</w:t>
      </w:r>
      <w:r>
        <w:rPr>
          <w:rFonts w:hint="default" w:ascii="Times New Roman" w:hAnsi="Times New Roman" w:eastAsia="仿宋_GB2312" w:cs="Times New Roman"/>
          <w:sz w:val="32"/>
          <w:szCs w:val="32"/>
          <w:highlight w:val="none"/>
          <w:lang w:val="en-US" w:eastAsia="zh-CN"/>
        </w:rPr>
        <w:t>330.69</w:t>
      </w:r>
      <w:r>
        <w:rPr>
          <w:rFonts w:hint="default" w:ascii="Times New Roman" w:hAnsi="Times New Roman" w:eastAsia="仿宋_GB2312" w:cs="Times New Roman"/>
          <w:sz w:val="32"/>
          <w:szCs w:val="32"/>
        </w:rPr>
        <w:t>万元，专款用于被征地农民缴纳养老保险费用。征地批准文件批复的实际范围有变化的，</w:t>
      </w:r>
      <w:r>
        <w:rPr>
          <w:rFonts w:hint="default" w:ascii="Times New Roman" w:hAnsi="Times New Roman" w:eastAsia="仿宋_GB2312" w:cs="Times New Roman"/>
          <w:bCs/>
          <w:sz w:val="32"/>
          <w:szCs w:val="32"/>
        </w:rPr>
        <w:t>费用将做相应调整。</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val="0"/>
        <w:overflowPunct/>
        <w:topLinePunct w:val="0"/>
        <w:autoSpaceDE/>
        <w:autoSpaceDN/>
        <w:bidi w:val="0"/>
        <w:adjustRightInd/>
        <w:snapToGrid/>
        <w:spacing w:line="560" w:lineRule="exact"/>
        <w:ind w:right="320"/>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2024年9月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2B5F46-3A0F-447F-A907-531F42D44C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2F6AC2F8-9998-4AEC-8C62-D800A5AD5A4E}"/>
  </w:font>
  <w:font w:name="方正小标宋简体">
    <w:panose1 w:val="03000509000000000000"/>
    <w:charset w:val="86"/>
    <w:family w:val="script"/>
    <w:pitch w:val="default"/>
    <w:sig w:usb0="00000001" w:usb1="080E0000" w:usb2="00000000" w:usb3="00000000" w:csb0="00040000" w:csb1="00000000"/>
    <w:embedRegular r:id="rId3" w:fontKey="{C7C12CB8-A33E-4576-8F2C-4EBBE4692439}"/>
  </w:font>
  <w:font w:name="仿宋_GB2312">
    <w:panose1 w:val="02010609030101010101"/>
    <w:charset w:val="86"/>
    <w:family w:val="modern"/>
    <w:pitch w:val="default"/>
    <w:sig w:usb0="00000001" w:usb1="080E0000" w:usb2="00000000" w:usb3="00000000" w:csb0="00040000" w:csb1="00000000"/>
    <w:embedRegular r:id="rId4" w:fontKey="{431D3568-376B-465E-9D2C-2DB6BE3E2918}"/>
  </w:font>
  <w:font w:name="仿宋">
    <w:panose1 w:val="02010609060101010101"/>
    <w:charset w:val="86"/>
    <w:family w:val="modern"/>
    <w:pitch w:val="default"/>
    <w:sig w:usb0="800002BF" w:usb1="38CF7CFA" w:usb2="00000016" w:usb3="00000000" w:csb0="00040001" w:csb1="00000000"/>
    <w:embedRegular r:id="rId5" w:fontKey="{D06DF40B-7FDE-4AC0-AF54-82B9BDDB8838}"/>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116F"/>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234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01D14551"/>
    <w:rsid w:val="034948B2"/>
    <w:rsid w:val="04F80729"/>
    <w:rsid w:val="06307751"/>
    <w:rsid w:val="070C644E"/>
    <w:rsid w:val="074F7577"/>
    <w:rsid w:val="15336061"/>
    <w:rsid w:val="20C22F55"/>
    <w:rsid w:val="2D3A39CE"/>
    <w:rsid w:val="34BA79CA"/>
    <w:rsid w:val="3642627B"/>
    <w:rsid w:val="36DF4368"/>
    <w:rsid w:val="3AB52C3C"/>
    <w:rsid w:val="42ED2FB3"/>
    <w:rsid w:val="437F2DDD"/>
    <w:rsid w:val="44E83CAB"/>
    <w:rsid w:val="46F00C05"/>
    <w:rsid w:val="4773097B"/>
    <w:rsid w:val="4823227C"/>
    <w:rsid w:val="485566E5"/>
    <w:rsid w:val="4D7943E3"/>
    <w:rsid w:val="54DD5388"/>
    <w:rsid w:val="55A91E4F"/>
    <w:rsid w:val="56B57B83"/>
    <w:rsid w:val="5AD33AC5"/>
    <w:rsid w:val="5D77631A"/>
    <w:rsid w:val="5F451D15"/>
    <w:rsid w:val="62E66A23"/>
    <w:rsid w:val="667965AD"/>
    <w:rsid w:val="67042806"/>
    <w:rsid w:val="67220062"/>
    <w:rsid w:val="6D2029C7"/>
    <w:rsid w:val="70EA0078"/>
    <w:rsid w:val="74661B2F"/>
    <w:rsid w:val="74BB5FFB"/>
    <w:rsid w:val="74F5796F"/>
    <w:rsid w:val="755B6D2B"/>
    <w:rsid w:val="76FE05CD"/>
    <w:rsid w:val="77E90A6E"/>
    <w:rsid w:val="7A541E1C"/>
    <w:rsid w:val="7AB13162"/>
    <w:rsid w:val="7C9F7014"/>
    <w:rsid w:val="7D5C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Words>
  <Characters>1255</Characters>
  <Lines>10</Lines>
  <Paragraphs>2</Paragraphs>
  <TotalTime>3</TotalTime>
  <ScaleCrop>false</ScaleCrop>
  <LinksUpToDate>false</LinksUpToDate>
  <CharactersWithSpaces>1473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2024-09-14T02:26:00Z</cp:lastPrinted>
  <dcterms:modified xsi:type="dcterms:W3CDTF">2024-09-29T06:54:25Z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2358EB9B09164A52999EAADD46285719</vt:lpwstr>
  </property>
</Properties>
</file>