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广州市花都区2024年度第五十四批次城镇建设用地（体育公园中一地块）</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广州市花都区2024年度第五十四批次城镇建设用地（体育公园中一地块）</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广州市花都区2024年度第五十四批次城镇建设用地（体育公园中一地块）</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花城街石岗村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土地面积共154.5180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330.69</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0"/>
        <w:gridCol w:w="2444"/>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70" w:type="dxa"/>
            <w:vMerge w:val="restart"/>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花城街</w:t>
            </w:r>
          </w:p>
        </w:tc>
        <w:tc>
          <w:tcPr>
            <w:tcW w:w="24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石岗村经济联合社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43.7580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93.65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70" w:type="dxa"/>
            <w:vMerge w:val="continue"/>
            <w:tcBorders>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4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石岗村上升三四经济合作社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5.0430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70" w:type="dxa"/>
            <w:vMerge w:val="continue"/>
            <w:tcBorders>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4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石岗村上升二经济合作社、上升五经济合作社、上升一经济合作社（共有）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0.2940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bookmarkStart w:id="0" w:name="_GoBack"/>
            <w:bookmarkEnd w:id="0"/>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0.63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70" w:type="dxa"/>
            <w:vMerge w:val="continue"/>
            <w:tcBorders>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4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石岗村上升二经济合作社、上升一经济合作社（共有）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105.4230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225.61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154.5180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330.69</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031792"/>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38B4884"/>
    <w:rsid w:val="56293227"/>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2024-09-20T07:28:57Z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729CE61A754545AE93B9D900110E0709</vt:lpwstr>
  </property>
</Properties>
</file>