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default" w:ascii="宋体" w:hAnsi="Times New Roman" w:eastAsia="宋体" w:cs="宋体"/>
          <w:b/>
          <w:bCs/>
          <w:sz w:val="32"/>
          <w:szCs w:val="32"/>
          <w:lang w:val="en-US" w:eastAsia="zh-CN"/>
        </w:rPr>
      </w:pPr>
      <w:r>
        <w:rPr>
          <w:rFonts w:hint="eastAsia" w:ascii="宋体" w:hAnsi="Times New Roman" w:cs="宋体"/>
          <w:b/>
          <w:bCs/>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202</w:t>
      </w:r>
      <w:r>
        <w:rPr>
          <w:rFonts w:hint="eastAsia" w:ascii="宋体" w:hAnsi="Times New Roman" w:cs="宋体"/>
          <w:b/>
          <w:bCs/>
          <w:sz w:val="32"/>
          <w:szCs w:val="32"/>
          <w:lang w:val="en-US" w:eastAsia="zh-CN"/>
        </w:rPr>
        <w:t>5</w:t>
      </w:r>
      <w:r>
        <w:rPr>
          <w:rFonts w:hint="eastAsia" w:ascii="宋体" w:hAnsi="Times New Roman" w:eastAsia="宋体" w:cs="宋体"/>
          <w:b/>
          <w:bCs/>
          <w:sz w:val="32"/>
          <w:szCs w:val="32"/>
          <w:lang w:val="en-US" w:eastAsia="zh-CN"/>
        </w:rPr>
        <w:t>年花都区农作物重大病虫害防控项目</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Times New Roman" w:eastAsia="宋体" w:cs="宋体"/>
          <w:b/>
          <w:bCs/>
          <w:sz w:val="32"/>
          <w:szCs w:val="32"/>
          <w:lang w:val="en-US" w:eastAsia="zh-CN"/>
        </w:rPr>
      </w:pPr>
      <w:r>
        <w:rPr>
          <w:rFonts w:hint="eastAsia" w:ascii="宋体" w:hAnsi="Times New Roman" w:eastAsia="宋体" w:cs="宋体"/>
          <w:b/>
          <w:bCs/>
          <w:sz w:val="32"/>
          <w:szCs w:val="32"/>
          <w:lang w:val="en-US" w:eastAsia="zh-CN"/>
        </w:rPr>
        <w:t>指标及评分标准</w:t>
      </w:r>
    </w:p>
    <w:tbl>
      <w:tblPr>
        <w:tblStyle w:val="7"/>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62"/>
        <w:gridCol w:w="6802"/>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投标报价得分</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符合报价要求的得10分，不符合的不得分。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资质证书</w:t>
            </w:r>
          </w:p>
        </w:tc>
        <w:tc>
          <w:tcPr>
            <w:tcW w:w="68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具有</w:t>
            </w:r>
            <w:r>
              <w:rPr>
                <w:rFonts w:hint="eastAsia" w:ascii="宋体" w:hAnsi="宋体" w:eastAsia="宋体" w:cs="宋体"/>
                <w:bCs/>
                <w:color w:val="auto"/>
                <w:sz w:val="24"/>
                <w:szCs w:val="24"/>
                <w:lang w:val="en-US" w:eastAsia="zh-CN"/>
              </w:rPr>
              <w:t>有害生物防制协会颁发的</w:t>
            </w:r>
            <w:r>
              <w:rPr>
                <w:rFonts w:hint="eastAsia" w:ascii="宋体" w:hAnsi="宋体" w:eastAsia="宋体" w:cs="宋体"/>
                <w:bCs/>
                <w:color w:val="auto"/>
                <w:sz w:val="24"/>
                <w:szCs w:val="24"/>
                <w:lang w:val="en-US"/>
              </w:rPr>
              <w:t>有害生物防制服务机构能力（或有害生物防制资质）证书，获得资质甲级或A级的得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rPr>
              <w:t>分；获得资质B级或乙级得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rPr>
              <w:t>分；获得资质C级或丙级得</w:t>
            </w:r>
            <w:r>
              <w:rPr>
                <w:rFonts w:hint="default" w:ascii="宋体" w:hAnsi="宋体" w:eastAsia="宋体" w:cs="宋体"/>
                <w:bCs/>
                <w:color w:val="auto"/>
                <w:sz w:val="24"/>
                <w:szCs w:val="24"/>
                <w:lang w:val="en-US"/>
              </w:rPr>
              <w:t>1</w:t>
            </w:r>
            <w:r>
              <w:rPr>
                <w:rFonts w:hint="eastAsia" w:ascii="宋体" w:hAnsi="宋体" w:eastAsia="宋体" w:cs="宋体"/>
                <w:bCs/>
                <w:color w:val="auto"/>
                <w:sz w:val="24"/>
                <w:szCs w:val="24"/>
                <w:lang w:val="en-US"/>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color w:val="auto"/>
                <w:lang w:val="en-US"/>
              </w:rPr>
            </w:pPr>
            <w:r>
              <w:rPr>
                <w:rFonts w:hint="eastAsia" w:ascii="宋体" w:hAnsi="宋体" w:eastAsia="宋体" w:cs="宋体"/>
                <w:bCs/>
                <w:color w:val="auto"/>
                <w:sz w:val="24"/>
                <w:szCs w:val="24"/>
                <w:lang w:val="en-US" w:eastAsia="zh-CN"/>
              </w:rPr>
              <w:t>2、投标人</w:t>
            </w:r>
            <w:r>
              <w:rPr>
                <w:rFonts w:hint="eastAsia" w:ascii="宋体" w:hAnsi="宋体" w:eastAsia="宋体" w:cs="宋体"/>
                <w:bCs/>
                <w:color w:val="auto"/>
                <w:sz w:val="24"/>
                <w:szCs w:val="24"/>
                <w:lang w:val="en-US"/>
              </w:rPr>
              <w:t>具有</w:t>
            </w:r>
            <w:r>
              <w:rPr>
                <w:rFonts w:hint="eastAsia" w:ascii="宋体" w:hAnsi="宋体" w:eastAsia="宋体" w:cs="宋体"/>
                <w:bCs/>
                <w:color w:val="auto"/>
                <w:sz w:val="24"/>
                <w:szCs w:val="24"/>
                <w:lang w:val="en-US" w:eastAsia="zh-CN"/>
              </w:rPr>
              <w:t>林学会颁发的丙级或以上林业</w:t>
            </w:r>
            <w:r>
              <w:rPr>
                <w:rFonts w:hint="eastAsia" w:ascii="宋体" w:hAnsi="宋体" w:eastAsia="宋体" w:cs="宋体"/>
                <w:bCs/>
                <w:color w:val="auto"/>
                <w:sz w:val="24"/>
                <w:szCs w:val="24"/>
                <w:lang w:val="en-US"/>
              </w:rPr>
              <w:t>有害生物</w:t>
            </w:r>
            <w:r>
              <w:rPr>
                <w:rFonts w:hint="eastAsia" w:ascii="宋体" w:hAnsi="宋体" w:eastAsia="宋体" w:cs="宋体"/>
                <w:bCs/>
                <w:color w:val="auto"/>
                <w:sz w:val="24"/>
                <w:szCs w:val="24"/>
                <w:lang w:val="en-US" w:eastAsia="zh-CN"/>
              </w:rPr>
              <w:t>防治资质证书</w:t>
            </w:r>
            <w:r>
              <w:rPr>
                <w:rFonts w:hint="eastAsia" w:ascii="宋体" w:hAnsi="宋体" w:eastAsia="宋体" w:cs="宋体"/>
                <w:bCs/>
                <w:color w:val="auto"/>
                <w:sz w:val="24"/>
                <w:szCs w:val="24"/>
                <w:lang w:val="en-US"/>
              </w:rPr>
              <w:t>得</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，否则不得分</w:t>
            </w:r>
            <w:r>
              <w:rPr>
                <w:rFonts w:hint="eastAsia" w:ascii="宋体" w:hAnsi="宋体" w:eastAsia="宋体" w:cs="宋体"/>
                <w:bCs/>
                <w:color w:val="auto"/>
                <w:sz w:val="24"/>
                <w:szCs w:val="24"/>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bCs w:val="0"/>
                <w:color w:val="auto"/>
                <w:sz w:val="24"/>
                <w:szCs w:val="24"/>
                <w:lang w:val="en-US"/>
              </w:rPr>
              <w:t>注：须提供上述证书复印件并加盖</w:t>
            </w:r>
            <w:r>
              <w:rPr>
                <w:rFonts w:hint="eastAsia" w:ascii="宋体" w:hAnsi="宋体" w:cs="宋体"/>
                <w:b/>
                <w:bCs w:val="0"/>
                <w:color w:val="auto"/>
                <w:sz w:val="24"/>
                <w:szCs w:val="24"/>
                <w:lang w:val="en-US" w:eastAsia="zh-CN"/>
              </w:rPr>
              <w:t>投标人</w:t>
            </w:r>
            <w:r>
              <w:rPr>
                <w:rFonts w:hint="eastAsia" w:ascii="宋体" w:hAnsi="宋体" w:eastAsia="宋体" w:cs="宋体"/>
                <w:b/>
                <w:bCs w:val="0"/>
                <w:color w:val="auto"/>
                <w:sz w:val="24"/>
                <w:szCs w:val="24"/>
                <w:lang w:val="en-US"/>
              </w:rPr>
              <w:t>公章，不提供不得分。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管理体系认证</w:t>
            </w:r>
          </w:p>
        </w:tc>
        <w:tc>
          <w:tcPr>
            <w:tcW w:w="68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rPr>
              <w:t>具有有效的质量管理体系认证、环境管理体系认证、职业健康安全管理体系认证的,每个认证得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分，最高得</w:t>
            </w:r>
            <w:r>
              <w:rPr>
                <w:rFonts w:hint="default" w:ascii="宋体" w:hAnsi="宋体" w:cs="宋体"/>
                <w:bCs/>
                <w:color w:val="auto"/>
                <w:sz w:val="24"/>
                <w:szCs w:val="24"/>
                <w:lang w:val="en-US" w:eastAsia="zh-CN"/>
              </w:rPr>
              <w:t>6</w:t>
            </w:r>
            <w:r>
              <w:rPr>
                <w:rFonts w:hint="eastAsia" w:ascii="宋体" w:hAnsi="宋体" w:eastAsia="宋体" w:cs="宋体"/>
                <w:bCs/>
                <w:color w:val="auto"/>
                <w:sz w:val="24"/>
                <w:szCs w:val="24"/>
                <w:lang w:val="en-US"/>
              </w:rPr>
              <w:t xml:space="preserve">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ascii="宋体" w:hAnsi="宋体" w:eastAsia="宋体" w:cs="宋体"/>
                <w:bCs/>
                <w:color w:val="auto"/>
                <w:sz w:val="24"/>
                <w:szCs w:val="24"/>
                <w:lang w:val="en-US"/>
              </w:rPr>
            </w:pPr>
            <w:r>
              <w:rPr>
                <w:rFonts w:hint="eastAsia" w:ascii="宋体" w:hAnsi="宋体" w:eastAsia="宋体" w:cs="宋体"/>
                <w:b/>
                <w:bCs w:val="0"/>
                <w:color w:val="auto"/>
                <w:sz w:val="24"/>
                <w:szCs w:val="24"/>
                <w:lang w:val="en-US"/>
              </w:rPr>
              <w:t>注：上述体系认证须含有“</w:t>
            </w:r>
            <w:r>
              <w:rPr>
                <w:rFonts w:hint="eastAsia" w:ascii="宋体" w:hAnsi="宋体" w:eastAsia="宋体" w:cs="宋体"/>
                <w:b/>
                <w:bCs w:val="0"/>
                <w:color w:val="auto"/>
                <w:sz w:val="24"/>
                <w:szCs w:val="24"/>
                <w:lang w:val="en-US" w:eastAsia="zh-CN"/>
              </w:rPr>
              <w:t>红火蚁</w:t>
            </w:r>
            <w:r>
              <w:rPr>
                <w:rFonts w:hint="eastAsia" w:ascii="宋体" w:hAnsi="宋体" w:eastAsia="宋体" w:cs="宋体"/>
                <w:b/>
                <w:bCs w:val="0"/>
                <w:color w:val="auto"/>
                <w:sz w:val="24"/>
                <w:szCs w:val="24"/>
                <w:lang w:val="en-US"/>
              </w:rPr>
              <w:t>防治</w:t>
            </w:r>
            <w:r>
              <w:rPr>
                <w:rFonts w:hint="eastAsia" w:ascii="宋体" w:hAnsi="宋体" w:cs="宋体"/>
                <w:b/>
                <w:bCs w:val="0"/>
                <w:color w:val="auto"/>
                <w:sz w:val="24"/>
                <w:szCs w:val="24"/>
                <w:lang w:val="en-US" w:eastAsia="zh-CN"/>
              </w:rPr>
              <w:t>、林业病虫害防治</w:t>
            </w:r>
            <w:r>
              <w:rPr>
                <w:rFonts w:hint="eastAsia" w:ascii="宋体" w:hAnsi="宋体" w:eastAsia="宋体" w:cs="宋体"/>
                <w:b/>
                <w:bCs w:val="0"/>
                <w:color w:val="auto"/>
                <w:sz w:val="24"/>
                <w:szCs w:val="24"/>
                <w:lang w:val="en-US"/>
              </w:rPr>
              <w:t>”认证范围</w:t>
            </w:r>
            <w:r>
              <w:rPr>
                <w:rFonts w:hint="eastAsia" w:ascii="宋体" w:hAnsi="宋体" w:eastAsia="宋体" w:cs="宋体"/>
                <w:b/>
                <w:bCs w:val="0"/>
                <w:color w:val="auto"/>
                <w:sz w:val="24"/>
                <w:szCs w:val="24"/>
                <w:lang w:val="en-US" w:eastAsia="zh-CN"/>
              </w:rPr>
              <w:t>，</w:t>
            </w:r>
            <w:r>
              <w:rPr>
                <w:rFonts w:hint="eastAsia" w:ascii="宋体" w:hAnsi="宋体" w:eastAsia="宋体" w:cs="宋体"/>
                <w:b/>
                <w:bCs w:val="0"/>
                <w:color w:val="auto"/>
                <w:sz w:val="24"/>
                <w:szCs w:val="24"/>
                <w:lang w:val="en-US"/>
              </w:rPr>
              <w:t>同时提供有效期内认证证书复印件和中国国家认证认可监督管理委员会网站的《全国认证认可信息公共服务平台》上查证为有效状态的网页截图扫描件并加盖</w:t>
            </w:r>
            <w:r>
              <w:rPr>
                <w:rFonts w:hint="eastAsia" w:ascii="宋体" w:hAnsi="宋体" w:cs="宋体"/>
                <w:b/>
                <w:bCs w:val="0"/>
                <w:color w:val="auto"/>
                <w:sz w:val="24"/>
                <w:szCs w:val="24"/>
                <w:lang w:val="en-US" w:eastAsia="zh-CN"/>
              </w:rPr>
              <w:t>投标人</w:t>
            </w:r>
            <w:r>
              <w:rPr>
                <w:rFonts w:hint="eastAsia" w:ascii="宋体" w:hAnsi="宋体" w:eastAsia="宋体" w:cs="宋体"/>
                <w:b/>
                <w:bCs w:val="0"/>
                <w:color w:val="auto"/>
                <w:sz w:val="24"/>
                <w:szCs w:val="24"/>
                <w:lang w:val="en-US"/>
              </w:rPr>
              <w:t>公章为准，否则不得分。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default" w:ascii="宋体" w:hAnsi="宋体" w:eastAsia="宋体" w:cs="宋体"/>
                <w:bCs/>
                <w:color w:val="auto"/>
                <w:sz w:val="24"/>
                <w:szCs w:val="24"/>
                <w:lang w:val="en-US" w:eastAsia="zh-CN"/>
              </w:rPr>
            </w:pPr>
            <w:r>
              <w:rPr>
                <w:rFonts w:hint="default"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83"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同类项目业绩</w:t>
            </w:r>
          </w:p>
        </w:tc>
        <w:tc>
          <w:tcPr>
            <w:tcW w:w="6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投标人</w:t>
            </w:r>
            <w:r>
              <w:rPr>
                <w:rFonts w:hint="eastAsia" w:ascii="宋体" w:hAnsi="宋体" w:eastAsia="宋体" w:cs="宋体"/>
                <w:bCs/>
                <w:color w:val="auto"/>
                <w:sz w:val="24"/>
                <w:szCs w:val="24"/>
                <w:lang w:val="en-US" w:eastAsia="zh-CN"/>
              </w:rPr>
              <w:t>近三年（202</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年1月1日至本项目开标之日，以合同签订日期为准）</w:t>
            </w:r>
            <w:r>
              <w:rPr>
                <w:rFonts w:hint="eastAsia" w:ascii="宋体" w:hAnsi="宋体" w:cs="宋体"/>
                <w:bCs/>
                <w:color w:val="auto"/>
                <w:sz w:val="24"/>
                <w:szCs w:val="24"/>
                <w:lang w:val="en-US" w:eastAsia="zh-CN"/>
              </w:rPr>
              <w:t>的类似业绩情况，其中</w:t>
            </w:r>
            <w:r>
              <w:rPr>
                <w:rFonts w:hint="eastAsia" w:ascii="宋体" w:hAnsi="宋体" w:eastAsia="宋体" w:cs="宋体"/>
                <w:bCs/>
                <w:color w:val="auto"/>
                <w:sz w:val="24"/>
                <w:szCs w:val="24"/>
                <w:lang w:val="en-US" w:eastAsia="zh-CN"/>
              </w:rPr>
              <w:t>红火蚁</w:t>
            </w:r>
            <w:r>
              <w:rPr>
                <w:rFonts w:hint="eastAsia" w:ascii="宋体" w:hAnsi="宋体" w:cs="宋体"/>
                <w:bCs/>
                <w:color w:val="auto"/>
                <w:sz w:val="24"/>
                <w:szCs w:val="24"/>
                <w:lang w:val="en-US" w:eastAsia="zh-CN"/>
              </w:rPr>
              <w:t>防控方面</w:t>
            </w:r>
            <w:r>
              <w:rPr>
                <w:rFonts w:hint="eastAsia" w:ascii="宋体" w:hAnsi="宋体" w:eastAsia="宋体" w:cs="宋体"/>
                <w:bCs/>
                <w:color w:val="auto"/>
                <w:sz w:val="24"/>
                <w:szCs w:val="24"/>
                <w:lang w:val="en-US" w:eastAsia="zh-CN"/>
              </w:rPr>
              <w:t>的</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每提供一份得1分，最高得5分</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薇甘菊防控</w:t>
            </w:r>
            <w:r>
              <w:rPr>
                <w:rFonts w:hint="eastAsia" w:ascii="宋体" w:hAnsi="宋体" w:cs="宋体"/>
                <w:bCs/>
                <w:color w:val="auto"/>
                <w:sz w:val="24"/>
                <w:szCs w:val="24"/>
                <w:lang w:val="en-US" w:eastAsia="zh-CN"/>
              </w:rPr>
              <w:t>方面</w:t>
            </w:r>
            <w:r>
              <w:rPr>
                <w:rFonts w:hint="eastAsia" w:ascii="宋体" w:hAnsi="宋体" w:eastAsia="宋体" w:cs="宋体"/>
                <w:bCs/>
                <w:color w:val="auto"/>
                <w:sz w:val="24"/>
                <w:szCs w:val="24"/>
                <w:lang w:val="en-US" w:eastAsia="zh-CN"/>
              </w:rPr>
              <w:t>的</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每提供一份得1分，最高得5分。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jc w:val="both"/>
              <w:textAlignment w:val="auto"/>
              <w:rPr>
                <w:rFonts w:hint="default"/>
                <w:lang w:val="en-US" w:eastAsia="zh-CN"/>
              </w:rPr>
            </w:pPr>
            <w:r>
              <w:rPr>
                <w:rFonts w:hint="eastAsia" w:ascii="宋体" w:hAnsi="宋体" w:eastAsia="宋体" w:cs="宋体"/>
                <w:b/>
                <w:bCs w:val="0"/>
                <w:color w:val="auto"/>
                <w:sz w:val="24"/>
                <w:szCs w:val="24"/>
                <w:lang w:val="en-US" w:eastAsia="zh-CN"/>
              </w:rPr>
              <w:t>注：本项最高得10分，须提供合同复印件加盖投标人公章作为评分依据，未提供或提供材料无效不得分。</w:t>
            </w:r>
          </w:p>
        </w:tc>
        <w:tc>
          <w:tcPr>
            <w:tcW w:w="1089" w:type="dxa"/>
            <w:vMerge w:val="restart"/>
            <w:noWrap w:val="0"/>
            <w:vAlign w:val="center"/>
          </w:tcPr>
          <w:p>
            <w:pPr>
              <w:pStyle w:val="2"/>
              <w:keepNext w:val="0"/>
              <w:keepLines w:val="0"/>
              <w:pageBreakBefore w:val="0"/>
              <w:widowControl w:val="0"/>
              <w:tabs>
                <w:tab w:val="left" w:pos="720"/>
              </w:tabs>
              <w:kinsoku/>
              <w:wordWrap/>
              <w:overflowPunct/>
              <w:topLinePunct w:val="0"/>
              <w:autoSpaceDE/>
              <w:autoSpaceDN/>
              <w:bidi w:val="0"/>
              <w:adjustRightInd w:val="0"/>
              <w:snapToGrid w:val="0"/>
              <w:spacing w:line="420" w:lineRule="atLeast"/>
              <w:ind w:left="624" w:leftChars="0" w:hanging="624"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83" w:type="dxa"/>
            <w:vMerge w:val="continue"/>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eastAsia="宋体" w:cs="宋体"/>
                <w:color w:val="auto"/>
                <w:sz w:val="24"/>
                <w:szCs w:val="24"/>
              </w:rPr>
            </w:pPr>
          </w:p>
        </w:tc>
        <w:tc>
          <w:tcPr>
            <w:tcW w:w="6802" w:type="dxa"/>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atLeast"/>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投标人具有有害生物</w:t>
            </w:r>
            <w:r>
              <w:rPr>
                <w:rFonts w:hint="eastAsia" w:cs="宋体"/>
                <w:b w:val="0"/>
                <w:bCs/>
                <w:color w:val="auto"/>
                <w:kern w:val="2"/>
                <w:sz w:val="24"/>
                <w:szCs w:val="24"/>
                <w:lang w:val="en-US" w:eastAsia="zh-CN" w:bidi="ar-SA"/>
              </w:rPr>
              <w:t>类</w:t>
            </w:r>
            <w:r>
              <w:rPr>
                <w:rFonts w:hint="eastAsia" w:ascii="宋体" w:hAnsi="宋体" w:eastAsia="宋体" w:cs="宋体"/>
                <w:b w:val="0"/>
                <w:bCs/>
                <w:color w:val="auto"/>
                <w:kern w:val="2"/>
                <w:sz w:val="24"/>
                <w:szCs w:val="24"/>
                <w:lang w:val="en-US" w:eastAsia="zh-CN" w:bidi="ar-SA"/>
              </w:rPr>
              <w:t>应急</w:t>
            </w:r>
            <w:r>
              <w:rPr>
                <w:rFonts w:hint="eastAsia" w:cs="宋体"/>
                <w:b w:val="0"/>
                <w:bCs/>
                <w:color w:val="auto"/>
                <w:kern w:val="2"/>
                <w:sz w:val="24"/>
                <w:szCs w:val="24"/>
                <w:lang w:val="en-US" w:eastAsia="zh-CN" w:bidi="ar-SA"/>
              </w:rPr>
              <w:t>项目</w:t>
            </w:r>
            <w:r>
              <w:rPr>
                <w:rFonts w:hint="eastAsia" w:ascii="宋体" w:hAnsi="宋体" w:eastAsia="宋体" w:cs="宋体"/>
                <w:b w:val="0"/>
                <w:bCs/>
                <w:color w:val="auto"/>
                <w:kern w:val="2"/>
                <w:sz w:val="24"/>
                <w:szCs w:val="24"/>
                <w:lang w:val="en-US" w:eastAsia="zh-CN" w:bidi="ar-SA"/>
              </w:rPr>
              <w:t>业绩的，每提供一个符合要求的，得</w:t>
            </w:r>
            <w:r>
              <w:rPr>
                <w:rFonts w:hint="eastAsia" w:cs="宋体"/>
                <w:b w:val="0"/>
                <w:bCs/>
                <w:color w:val="auto"/>
                <w:kern w:val="2"/>
                <w:sz w:val="24"/>
                <w:szCs w:val="24"/>
                <w:lang w:val="en-US" w:eastAsia="zh-CN" w:bidi="ar-SA"/>
              </w:rPr>
              <w:t>2</w:t>
            </w:r>
            <w:r>
              <w:rPr>
                <w:rFonts w:hint="eastAsia" w:ascii="宋体" w:hAnsi="宋体" w:eastAsia="宋体" w:cs="宋体"/>
                <w:b w:val="0"/>
                <w:bCs/>
                <w:color w:val="auto"/>
                <w:kern w:val="2"/>
                <w:sz w:val="24"/>
                <w:szCs w:val="24"/>
                <w:lang w:val="en-US" w:eastAsia="zh-CN" w:bidi="ar-SA"/>
              </w:rPr>
              <w:t>分，最高得</w:t>
            </w:r>
            <w:r>
              <w:rPr>
                <w:rFonts w:hint="eastAsia" w:cs="宋体"/>
                <w:b w:val="0"/>
                <w:bCs/>
                <w:color w:val="auto"/>
                <w:kern w:val="2"/>
                <w:sz w:val="24"/>
                <w:szCs w:val="24"/>
                <w:lang w:val="en-US" w:eastAsia="zh-CN" w:bidi="ar-SA"/>
              </w:rPr>
              <w:t>6</w:t>
            </w:r>
            <w:r>
              <w:rPr>
                <w:rFonts w:hint="eastAsia" w:ascii="宋体" w:hAnsi="宋体" w:eastAsia="宋体" w:cs="宋体"/>
                <w:b w:val="0"/>
                <w:bCs/>
                <w:color w:val="auto"/>
                <w:kern w:val="2"/>
                <w:sz w:val="24"/>
                <w:szCs w:val="24"/>
                <w:lang w:val="en-US" w:eastAsia="zh-CN" w:bidi="ar-SA"/>
              </w:rPr>
              <w:t>分，未提供或提供材料无效不得分。</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00" w:lineRule="atLeast"/>
              <w:jc w:val="both"/>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注：须提供符合计分要求的每项项目的合同关键页扫描件并加盖投标人公章,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kern w:val="2"/>
                <w:sz w:val="24"/>
                <w:szCs w:val="24"/>
                <w:lang w:val="en-US" w:eastAsia="zh-CN" w:bidi="ar-SA"/>
              </w:rPr>
              <w:t>不得分。</w:t>
            </w:r>
          </w:p>
        </w:tc>
        <w:tc>
          <w:tcPr>
            <w:tcW w:w="1089" w:type="dxa"/>
            <w:vMerge w:val="continue"/>
            <w:noWrap w:val="0"/>
            <w:vAlign w:val="center"/>
          </w:tcPr>
          <w:p>
            <w:pPr>
              <w:pStyle w:val="2"/>
              <w:keepNext w:val="0"/>
              <w:keepLines w:val="0"/>
              <w:pageBreakBefore w:val="0"/>
              <w:widowControl w:val="0"/>
              <w:tabs>
                <w:tab w:val="left" w:pos="720"/>
              </w:tabs>
              <w:kinsoku/>
              <w:wordWrap/>
              <w:overflowPunct/>
              <w:topLinePunct w:val="0"/>
              <w:autoSpaceDE/>
              <w:autoSpaceDN/>
              <w:bidi w:val="0"/>
              <w:adjustRightInd w:val="0"/>
              <w:snapToGrid w:val="0"/>
              <w:spacing w:line="420" w:lineRule="atLeast"/>
              <w:ind w:left="624" w:leftChars="0" w:hanging="624"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自主知识产权及新技术的</w:t>
            </w:r>
            <w:r>
              <w:rPr>
                <w:rFonts w:hint="eastAsia" w:ascii="宋体" w:hAnsi="宋体" w:eastAsia="宋体" w:cs="宋体"/>
                <w:color w:val="auto"/>
                <w:sz w:val="24"/>
                <w:szCs w:val="24"/>
                <w:lang w:val="en-US" w:eastAsia="zh-CN"/>
              </w:rPr>
              <w:t>运用</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atLeast"/>
              <w:jc w:val="left"/>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color w:val="auto"/>
                <w:sz w:val="24"/>
                <w:szCs w:val="24"/>
                <w:lang w:val="en-US" w:eastAsia="zh-CN"/>
              </w:rPr>
              <w:t>投标人具有有害生物防制领域知识产权证书，每个证书得1分，最高得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val="en-US" w:eastAsia="zh-CN"/>
              </w:rPr>
              <w:br w:type="textWrapping"/>
            </w:r>
            <w:r>
              <w:rPr>
                <w:rFonts w:hint="eastAsia" w:ascii="宋体" w:hAnsi="宋体" w:eastAsia="宋体" w:cs="宋体"/>
                <w:b/>
                <w:bCs/>
                <w:color w:val="auto"/>
                <w:sz w:val="24"/>
                <w:szCs w:val="24"/>
                <w:lang w:val="en-US" w:eastAsia="zh-CN"/>
              </w:rPr>
              <w:t>注：产权应为投标人持有，产权持有者为个人不得分。须提供有效期内的证书复印件并加盖投标人公章，</w:t>
            </w:r>
            <w:r>
              <w:rPr>
                <w:rFonts w:hint="eastAsia" w:ascii="宋体" w:hAnsi="宋体" w:eastAsia="宋体" w:cs="宋体"/>
                <w:b/>
                <w:bCs/>
                <w:color w:val="auto"/>
                <w:sz w:val="24"/>
                <w:szCs w:val="24"/>
                <w:lang w:val="en-US"/>
              </w:rPr>
              <w:t>否则不得分</w:t>
            </w:r>
            <w:r>
              <w:rPr>
                <w:rFonts w:hint="eastAsia" w:ascii="宋体" w:hAnsi="宋体" w:eastAsia="宋体" w:cs="宋体"/>
                <w:color w:val="auto"/>
                <w:sz w:val="24"/>
                <w:szCs w:val="24"/>
                <w:lang w:val="en-US" w:eastAsia="zh-CN"/>
              </w:rPr>
              <w:t>。</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40" w:lineRule="atLeast"/>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auto"/>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Pr>
              <w:t>项目整体服务方案</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对本次项目的整体技术方案说明和组织实施服务作业的完整性、安全性、针对性、可行性、计划安排及重点与难点分析并提出合理化建议等进行</w:t>
            </w:r>
            <w:r>
              <w:rPr>
                <w:rFonts w:hint="eastAsia" w:ascii="宋体" w:hAnsi="宋体" w:eastAsia="宋体" w:cs="宋体"/>
                <w:b w:val="0"/>
                <w:bCs/>
                <w:color w:val="auto"/>
                <w:kern w:val="0"/>
                <w:sz w:val="24"/>
                <w:szCs w:val="24"/>
                <w:highlight w:val="none"/>
                <w:lang w:val="en-US" w:eastAsia="zh-CN"/>
              </w:rPr>
              <w:t>综合评价</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得1</w:t>
            </w:r>
            <w:r>
              <w:rPr>
                <w:rFonts w:hint="default" w:ascii="宋体" w:hAnsi="宋体" w:cs="宋体"/>
                <w:bCs/>
                <w:color w:val="auto"/>
                <w:sz w:val="24"/>
                <w:szCs w:val="24"/>
                <w:lang w:val="en-US" w:eastAsia="zh-CN"/>
              </w:rPr>
              <w:t>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default"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w:t>
            </w:r>
            <w:r>
              <w:rPr>
                <w:rFonts w:hint="default" w:ascii="宋体" w:hAns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分，其他不得分。</w:t>
            </w:r>
          </w:p>
        </w:tc>
        <w:tc>
          <w:tcPr>
            <w:tcW w:w="108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0</w:t>
            </w:r>
            <w:r>
              <w:rPr>
                <w:rFonts w:hint="eastAsia" w:ascii="宋体" w:hAnsi="宋体" w:eastAsia="宋体" w:cs="宋体"/>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rPr>
              <w:t>安全及环保措施</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rPr>
              <w:t>根据各</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针对本项目的安全及环保措施</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val="en-US"/>
              </w:rPr>
              <w:t>包括员工的安全防护，药物的安全管理，环境、人畜及水产品等的安全管理措施</w:t>
            </w:r>
            <w:r>
              <w:rPr>
                <w:rFonts w:hint="eastAsia" w:ascii="宋体" w:hAnsi="宋体" w:eastAsia="宋体" w:cs="宋体"/>
                <w:bCs/>
                <w:color w:val="auto"/>
                <w:sz w:val="24"/>
                <w:szCs w:val="24"/>
                <w:lang w:val="en-US" w:eastAsia="zh-CN"/>
              </w:rPr>
              <w:t>）进行</w:t>
            </w:r>
            <w:r>
              <w:rPr>
                <w:rFonts w:hint="eastAsia" w:ascii="宋体" w:hAnsi="宋体" w:cs="宋体"/>
                <w:bCs/>
                <w:color w:val="auto"/>
                <w:sz w:val="24"/>
                <w:szCs w:val="24"/>
                <w:lang w:val="en-US" w:eastAsia="zh-CN"/>
              </w:rPr>
              <w:t>综合评价</w:t>
            </w:r>
            <w:r>
              <w:rPr>
                <w:rFonts w:hint="eastAsia" w:ascii="宋体" w:hAnsi="宋体" w:eastAsia="宋体" w:cs="宋体"/>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分，其他不得分。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883"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应急方案</w:t>
            </w:r>
          </w:p>
        </w:tc>
        <w:tc>
          <w:tcPr>
            <w:tcW w:w="6802"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根据各投标人针对本项目的应急方案（含预案原则、工作要求、响应时间、人员配合、保障措施、发生伤人事件、重要检查、大型活动、投诉处理、中暑事故、交通事故等应急预案）进行综合评价。</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default"/>
                <w:color w:val="auto"/>
                <w:lang w:val="en-US" w:eastAsia="zh-CN"/>
              </w:rPr>
            </w:pPr>
            <w:r>
              <w:rPr>
                <w:rFonts w:hint="eastAsia" w:ascii="宋体" w:hAnsi="宋体" w:eastAsia="宋体" w:cs="宋体"/>
                <w:bCs/>
                <w:color w:val="auto"/>
                <w:sz w:val="24"/>
                <w:szCs w:val="24"/>
                <w:lang w:val="en-US" w:eastAsia="zh-CN"/>
              </w:rPr>
              <w:t>优得</w:t>
            </w:r>
            <w:r>
              <w:rPr>
                <w:rFonts w:hint="default" w:ascii="宋体" w:hAnsi="宋体" w:cs="宋体"/>
                <w:bCs/>
                <w:color w:val="auto"/>
                <w:sz w:val="24"/>
                <w:szCs w:val="24"/>
                <w:lang w:val="en-US" w:eastAsia="zh-CN"/>
              </w:rPr>
              <w:t>6</w:t>
            </w:r>
            <w:r>
              <w:rPr>
                <w:rFonts w:hint="eastAsia" w:ascii="宋体" w:hAnsi="宋体" w:eastAsia="宋体" w:cs="宋体"/>
                <w:bCs/>
                <w:color w:val="auto"/>
                <w:sz w:val="24"/>
                <w:szCs w:val="24"/>
                <w:lang w:val="en-US" w:eastAsia="zh-CN"/>
              </w:rPr>
              <w:t>分，良得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分，一般得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分，其他不得分。</w:t>
            </w:r>
          </w:p>
        </w:tc>
        <w:tc>
          <w:tcPr>
            <w:tcW w:w="108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883" w:type="dxa"/>
            <w:vMerge w:val="continue"/>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b w:val="0"/>
                <w:bCs w:val="0"/>
                <w:color w:val="auto"/>
                <w:sz w:val="24"/>
                <w:szCs w:val="24"/>
                <w:highlight w:val="none"/>
              </w:rPr>
            </w:pPr>
          </w:p>
        </w:tc>
        <w:tc>
          <w:tcPr>
            <w:tcW w:w="166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color w:val="auto"/>
                <w:kern w:val="2"/>
                <w:sz w:val="24"/>
                <w:szCs w:val="24"/>
                <w:highlight w:val="none"/>
                <w:lang w:val="en-US" w:eastAsia="zh-CN" w:bidi="ar-SA"/>
              </w:rPr>
            </w:pPr>
          </w:p>
        </w:tc>
        <w:tc>
          <w:tcPr>
            <w:tcW w:w="6802"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投标人具有有害生物应急预案综合管理系统，得</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分。</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注：须提供相关系统的软件著作权证书复印件并加盖投标人公章，否则</w:t>
            </w:r>
            <w:r>
              <w:rPr>
                <w:rFonts w:hint="eastAsia" w:ascii="宋体" w:hAnsi="宋体" w:eastAsia="宋体" w:cs="宋体"/>
                <w:b/>
                <w:bCs w:val="0"/>
                <w:color w:val="auto"/>
                <w:kern w:val="2"/>
                <w:sz w:val="24"/>
                <w:szCs w:val="24"/>
                <w:lang w:val="en-US" w:eastAsia="zh-CN" w:bidi="ar-SA"/>
              </w:rPr>
              <w:t>不得分。</w:t>
            </w:r>
          </w:p>
        </w:tc>
        <w:tc>
          <w:tcPr>
            <w:tcW w:w="108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default" w:ascii="宋体" w:hAnsi="宋体" w:eastAsia="宋体" w:cs="宋体"/>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lang w:val="en-US"/>
              </w:rPr>
              <w:t>培训方案</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Cs/>
                <w:color w:val="auto"/>
                <w:sz w:val="24"/>
                <w:szCs w:val="24"/>
                <w:lang w:val="en-US"/>
              </w:rPr>
            </w:pPr>
            <w:r>
              <w:rPr>
                <w:rFonts w:hint="eastAsia" w:ascii="宋体" w:hAnsi="宋体" w:eastAsia="宋体" w:cs="宋体"/>
                <w:bCs/>
                <w:color w:val="auto"/>
                <w:sz w:val="24"/>
                <w:szCs w:val="24"/>
                <w:lang w:val="en-US"/>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val="en-US"/>
              </w:rPr>
              <w:t>提供</w:t>
            </w:r>
            <w:r>
              <w:rPr>
                <w:rFonts w:hint="eastAsia" w:ascii="宋体" w:hAnsi="宋体" w:cs="宋体"/>
                <w:bCs/>
                <w:color w:val="auto"/>
                <w:sz w:val="24"/>
                <w:szCs w:val="24"/>
                <w:lang w:val="en-US" w:eastAsia="zh-CN"/>
              </w:rPr>
              <w:t>的</w:t>
            </w:r>
            <w:r>
              <w:rPr>
                <w:rFonts w:hint="eastAsia" w:ascii="宋体" w:hAnsi="宋体" w:eastAsia="宋体" w:cs="宋体"/>
                <w:bCs/>
                <w:color w:val="auto"/>
                <w:sz w:val="24"/>
                <w:szCs w:val="24"/>
                <w:lang w:val="en-US"/>
              </w:rPr>
              <w:t>防控技术培训计划和方案内容全面、详尽，经验丰富，针对性和操作性强等进行综合评价。</w:t>
            </w:r>
          </w:p>
          <w:p>
            <w:pPr>
              <w:keepNext w:val="0"/>
              <w:keepLines w:val="0"/>
              <w:pageBreakBefore w:val="0"/>
              <w:widowControl w:val="0"/>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szCs w:val="24"/>
                <w:lang w:val="en-US"/>
              </w:rPr>
              <w:t>优</w:t>
            </w:r>
            <w:r>
              <w:rPr>
                <w:rFonts w:hint="eastAsia" w:ascii="宋体" w:hAnsi="宋体" w:eastAsia="宋体" w:cs="宋体"/>
                <w:bCs/>
                <w:color w:val="auto"/>
                <w:sz w:val="24"/>
                <w:szCs w:val="24"/>
                <w:lang w:val="en-US" w:eastAsia="zh-CN"/>
              </w:rPr>
              <w:t>得1</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rPr>
              <w:t>分，良</w:t>
            </w:r>
            <w:r>
              <w:rPr>
                <w:rFonts w:hint="eastAsia" w:ascii="宋体" w:hAnsi="宋体" w:eastAsia="宋体" w:cs="宋体"/>
                <w:bCs/>
                <w:color w:val="auto"/>
                <w:sz w:val="24"/>
                <w:szCs w:val="24"/>
                <w:lang w:val="en-US" w:eastAsia="zh-CN"/>
              </w:rPr>
              <w:t>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r>
              <w:rPr>
                <w:rFonts w:hint="eastAsia" w:ascii="宋体" w:hAnsi="宋体" w:eastAsia="宋体" w:cs="宋体"/>
                <w:bCs/>
                <w:color w:val="auto"/>
                <w:sz w:val="24"/>
                <w:szCs w:val="24"/>
                <w:lang w:val="en-US" w:eastAsia="zh-CN"/>
              </w:rPr>
              <w:t>一般得</w:t>
            </w:r>
            <w:r>
              <w:rPr>
                <w:rFonts w:hint="default" w:ascii="宋体" w:hAnsi="宋体" w:eastAsia="宋体" w:cs="宋体"/>
                <w:bCs/>
                <w:color w:val="auto"/>
                <w:sz w:val="24"/>
                <w:szCs w:val="24"/>
                <w:lang w:val="en-US" w:eastAsia="zh-CN"/>
              </w:rPr>
              <w:t>2</w:t>
            </w:r>
            <w:r>
              <w:rPr>
                <w:rFonts w:hint="eastAsia" w:ascii="宋体" w:hAnsi="宋体" w:eastAsia="宋体" w:cs="宋体"/>
                <w:bCs/>
                <w:color w:val="auto"/>
                <w:sz w:val="24"/>
                <w:szCs w:val="24"/>
                <w:lang w:val="en-US" w:eastAsia="zh-CN"/>
              </w:rPr>
              <w:t>分，其他不得分。</w:t>
            </w:r>
          </w:p>
        </w:tc>
        <w:tc>
          <w:tcPr>
            <w:tcW w:w="108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Cs/>
                <w:color w:val="auto"/>
                <w:sz w:val="24"/>
                <w:szCs w:val="24"/>
              </w:rPr>
              <w:t>10</w:t>
            </w:r>
            <w:r>
              <w:rPr>
                <w:rFonts w:hint="eastAsia" w:ascii="宋体" w:hAnsi="宋体" w:eastAsia="宋体" w:cs="宋体"/>
                <w:b w:val="0"/>
                <w:b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9" w:hRule="atLeast"/>
          <w:jc w:val="center"/>
        </w:trPr>
        <w:tc>
          <w:tcPr>
            <w:tcW w:w="88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atLeast"/>
              <w:ind w:left="425" w:leftChars="0" w:hanging="425" w:firstLineChars="0"/>
              <w:jc w:val="center"/>
              <w:textAlignment w:val="auto"/>
              <w:rPr>
                <w:rFonts w:hint="eastAsia" w:ascii="宋体" w:hAnsi="宋体" w:eastAsia="宋体" w:cs="宋体"/>
                <w:color w:val="auto"/>
                <w:sz w:val="24"/>
                <w:szCs w:val="24"/>
                <w:highlight w:val="none"/>
                <w:lang w:val="en-US" w:eastAsia="zh-CN"/>
              </w:rPr>
            </w:pPr>
          </w:p>
        </w:tc>
        <w:tc>
          <w:tcPr>
            <w:tcW w:w="16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项目服务人员情况</w:t>
            </w:r>
          </w:p>
        </w:tc>
        <w:tc>
          <w:tcPr>
            <w:tcW w:w="68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val="en-US"/>
              </w:rPr>
              <w:t>项目负责人（1人）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rPr>
              <w:t>①具有</w:t>
            </w:r>
            <w:r>
              <w:rPr>
                <w:rFonts w:hint="eastAsia" w:ascii="宋体" w:hAnsi="宋体" w:cs="宋体"/>
                <w:b w:val="0"/>
                <w:bCs/>
                <w:color w:val="auto"/>
                <w:sz w:val="24"/>
                <w:szCs w:val="24"/>
                <w:lang w:val="en-US" w:eastAsia="zh-CN"/>
              </w:rPr>
              <w:t>本科</w:t>
            </w:r>
            <w:r>
              <w:rPr>
                <w:rFonts w:hint="eastAsia" w:ascii="宋体" w:hAnsi="宋体" w:eastAsia="宋体" w:cs="宋体"/>
                <w:b w:val="0"/>
                <w:bCs/>
                <w:color w:val="auto"/>
                <w:sz w:val="24"/>
                <w:szCs w:val="24"/>
                <w:lang w:val="en-US"/>
              </w:rPr>
              <w:t>及以上学历</w:t>
            </w:r>
            <w:r>
              <w:rPr>
                <w:rFonts w:hint="eastAsia" w:ascii="宋体" w:hAnsi="宋体" w:cs="宋体"/>
                <w:b w:val="0"/>
                <w:bCs/>
                <w:color w:val="auto"/>
                <w:sz w:val="24"/>
                <w:szCs w:val="24"/>
                <w:lang w:val="en-US" w:eastAsia="zh-CN"/>
              </w:rPr>
              <w:t>得2分；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rPr>
              <w:t>②</w:t>
            </w:r>
            <w:r>
              <w:rPr>
                <w:rFonts w:hint="eastAsia" w:ascii="宋体" w:hAnsi="宋体" w:cs="宋体"/>
                <w:b w:val="0"/>
                <w:bCs/>
                <w:color w:val="auto"/>
                <w:sz w:val="24"/>
                <w:szCs w:val="24"/>
                <w:lang w:val="en-US" w:eastAsia="zh-CN"/>
              </w:rPr>
              <w:t>具有</w:t>
            </w:r>
            <w:r>
              <w:rPr>
                <w:rFonts w:hint="eastAsia" w:ascii="宋体" w:hAnsi="宋体" w:eastAsia="宋体" w:cs="宋体"/>
                <w:b w:val="0"/>
                <w:bCs/>
                <w:color w:val="auto"/>
                <w:sz w:val="24"/>
                <w:szCs w:val="24"/>
                <w:lang w:val="en-US"/>
              </w:rPr>
              <w:t>人力资源和社会保障部门颁发</w:t>
            </w:r>
            <w:r>
              <w:rPr>
                <w:rFonts w:hint="eastAsia" w:ascii="宋体" w:hAnsi="宋体" w:cs="宋体"/>
                <w:b w:val="0"/>
                <w:bCs/>
                <w:color w:val="auto"/>
                <w:sz w:val="24"/>
                <w:szCs w:val="24"/>
                <w:lang w:val="en-US" w:eastAsia="zh-CN"/>
              </w:rPr>
              <w:t>的</w:t>
            </w:r>
            <w:r>
              <w:rPr>
                <w:rFonts w:hint="eastAsia" w:ascii="宋体" w:hAnsi="宋体" w:eastAsia="宋体" w:cs="宋体"/>
                <w:b w:val="0"/>
                <w:bCs/>
                <w:color w:val="auto"/>
                <w:sz w:val="24"/>
                <w:szCs w:val="24"/>
                <w:lang w:val="en-US"/>
              </w:rPr>
              <w:t>高级有害生物防制员资格证的，得</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rPr>
              <w:t>分</w:t>
            </w:r>
            <w:r>
              <w:rPr>
                <w:rFonts w:hint="eastAsia" w:ascii="宋体" w:hAnsi="宋体" w:cs="宋体"/>
                <w:b w:val="0"/>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cs="宋体"/>
                <w:b w:val="0"/>
                <w:bCs/>
                <w:color w:val="auto"/>
                <w:sz w:val="24"/>
                <w:szCs w:val="24"/>
                <w:lang w:val="en-US" w:eastAsia="zh-CN"/>
              </w:rPr>
            </w:pPr>
            <w:r>
              <w:rPr>
                <w:rFonts w:hint="default" w:ascii="宋体" w:hAnsi="宋体" w:cs="宋体"/>
                <w:b w:val="0"/>
                <w:bCs/>
                <w:color w:val="auto"/>
                <w:sz w:val="24"/>
                <w:szCs w:val="24"/>
                <w:lang w:val="en-US" w:eastAsia="zh-CN"/>
              </w:rPr>
              <w:t>③</w:t>
            </w:r>
            <w:r>
              <w:rPr>
                <w:rFonts w:hint="eastAsia" w:ascii="宋体" w:hAnsi="宋体" w:cs="宋体"/>
                <w:b w:val="0"/>
                <w:bCs/>
                <w:color w:val="auto"/>
                <w:sz w:val="24"/>
                <w:szCs w:val="24"/>
                <w:lang w:val="en-US" w:eastAsia="zh-CN"/>
              </w:rPr>
              <w:t xml:space="preserve">具有危险化学品安全生产管理人员考核合格证的，得2分。本项最高得6分，无或其他不得分。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rPr>
              <w:t>注1：其中第①项需提供人员</w:t>
            </w:r>
            <w:r>
              <w:rPr>
                <w:rFonts w:hint="eastAsia" w:ascii="宋体" w:hAnsi="宋体" w:eastAsia="宋体" w:cs="宋体"/>
                <w:b/>
                <w:bCs w:val="0"/>
                <w:color w:val="auto"/>
                <w:sz w:val="24"/>
                <w:szCs w:val="24"/>
                <w:lang w:val="en-US" w:eastAsia="zh-CN"/>
              </w:rPr>
              <w:t>的</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rPr>
              <w:t>证书扫描件并加盖投标人公章，第②项须提供人员的</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rPr>
              <w:t>证书扫描件</w:t>
            </w:r>
            <w:r>
              <w:rPr>
                <w:rFonts w:hint="eastAsia" w:ascii="宋体" w:hAnsi="宋体" w:eastAsia="宋体" w:cs="宋体"/>
                <w:b/>
                <w:bCs w:val="0"/>
                <w:color w:val="auto"/>
                <w:sz w:val="24"/>
                <w:szCs w:val="24"/>
                <w:lang w:val="en-US" w:eastAsia="zh-CN"/>
              </w:rPr>
              <w:t>和证书在“技能人才评价证书全国联网查询”（官网：</w:t>
            </w:r>
            <w:r>
              <w:rPr>
                <w:rFonts w:hint="eastAsia" w:ascii="宋体" w:hAnsi="宋体" w:eastAsia="宋体" w:cs="宋体"/>
                <w:b/>
                <w:bCs w:val="0"/>
                <w:color w:val="auto"/>
                <w:sz w:val="24"/>
                <w:szCs w:val="24"/>
                <w:lang w:val="en-US" w:eastAsia="zh-CN"/>
              </w:rPr>
              <w:fldChar w:fldCharType="begin"/>
            </w:r>
            <w:r>
              <w:rPr>
                <w:rFonts w:hint="eastAsia" w:ascii="宋体" w:hAnsi="宋体" w:eastAsia="宋体" w:cs="宋体"/>
                <w:b/>
                <w:bCs w:val="0"/>
                <w:color w:val="auto"/>
                <w:sz w:val="24"/>
                <w:szCs w:val="24"/>
                <w:lang w:val="en-US" w:eastAsia="zh-CN"/>
              </w:rPr>
              <w:instrText xml:space="preserve"> HYPERLINK "http://zscx.osta.org.cn/" </w:instrText>
            </w:r>
            <w:r>
              <w:rPr>
                <w:rFonts w:hint="eastAsia" w:ascii="宋体" w:hAnsi="宋体" w:eastAsia="宋体" w:cs="宋体"/>
                <w:b/>
                <w:bCs w:val="0"/>
                <w:color w:val="auto"/>
                <w:sz w:val="24"/>
                <w:szCs w:val="24"/>
                <w:lang w:val="en-US" w:eastAsia="zh-CN"/>
              </w:rPr>
              <w:fldChar w:fldCharType="separate"/>
            </w:r>
            <w:r>
              <w:rPr>
                <w:rFonts w:hint="eastAsia" w:ascii="宋体" w:hAnsi="宋体" w:eastAsia="宋体" w:cs="宋体"/>
                <w:b/>
                <w:bCs w:val="0"/>
                <w:color w:val="auto"/>
                <w:sz w:val="24"/>
                <w:szCs w:val="24"/>
                <w:lang w:val="en-US" w:eastAsia="zh-CN"/>
              </w:rPr>
              <w:t>http://zscx.osta.org.cn/</w:t>
            </w:r>
            <w:r>
              <w:rPr>
                <w:rFonts w:hint="eastAsia" w:ascii="宋体" w:hAnsi="宋体" w:eastAsia="宋体" w:cs="宋体"/>
                <w:b/>
                <w:bCs w:val="0"/>
                <w:color w:val="auto"/>
                <w:sz w:val="24"/>
                <w:szCs w:val="24"/>
                <w:lang w:val="en-US" w:eastAsia="zh-CN"/>
              </w:rPr>
              <w:fldChar w:fldCharType="end"/>
            </w:r>
            <w:r>
              <w:rPr>
                <w:rFonts w:hint="eastAsia" w:ascii="宋体" w:hAnsi="宋体" w:eastAsia="宋体" w:cs="宋体"/>
                <w:b/>
                <w:bCs w:val="0"/>
                <w:color w:val="auto"/>
                <w:sz w:val="24"/>
                <w:szCs w:val="24"/>
                <w:lang w:val="en-US" w:eastAsia="zh-CN"/>
              </w:rPr>
              <w:t>）的查验截图，</w:t>
            </w:r>
            <w:r>
              <w:rPr>
                <w:rFonts w:hint="eastAsia" w:ascii="宋体" w:hAnsi="宋体" w:eastAsia="宋体" w:cs="宋体"/>
                <w:b/>
                <w:bCs w:val="0"/>
                <w:color w:val="auto"/>
                <w:sz w:val="24"/>
                <w:szCs w:val="24"/>
                <w:lang w:val="en-US"/>
              </w:rPr>
              <w:t>第③项须提供人员</w:t>
            </w:r>
            <w:r>
              <w:rPr>
                <w:rFonts w:hint="eastAsia" w:ascii="宋体" w:hAnsi="宋体" w:cs="宋体"/>
                <w:b/>
                <w:bCs w:val="0"/>
                <w:color w:val="auto"/>
                <w:sz w:val="24"/>
                <w:szCs w:val="24"/>
                <w:lang w:val="en-US" w:eastAsia="zh-CN"/>
              </w:rPr>
              <w:t>相关</w:t>
            </w:r>
            <w:r>
              <w:rPr>
                <w:rFonts w:hint="eastAsia" w:ascii="宋体" w:hAnsi="宋体" w:eastAsia="宋体" w:cs="宋体"/>
                <w:b/>
                <w:bCs w:val="0"/>
                <w:color w:val="auto"/>
                <w:sz w:val="24"/>
                <w:szCs w:val="24"/>
                <w:lang w:val="en-US" w:eastAsia="zh-CN"/>
              </w:rPr>
              <w:t>证书</w:t>
            </w:r>
            <w:r>
              <w:rPr>
                <w:rFonts w:hint="eastAsia" w:ascii="宋体" w:hAnsi="宋体" w:eastAsia="宋体" w:cs="宋体"/>
                <w:b/>
                <w:bCs w:val="0"/>
                <w:color w:val="auto"/>
                <w:sz w:val="24"/>
                <w:szCs w:val="24"/>
                <w:lang w:val="en-US"/>
              </w:rPr>
              <w:t>扫描件并加盖投标人公章和“特种作业操作证及安全生产知识和管理能力考核合格信息查询平台”（官网：http:/cx.mem.gov.cn/）查询截图。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其他人员（项目负责人除外）：具有</w:t>
            </w:r>
            <w:r>
              <w:rPr>
                <w:rFonts w:hint="eastAsia" w:ascii="宋体" w:hAnsi="宋体" w:eastAsia="宋体" w:cs="宋体"/>
                <w:b w:val="0"/>
                <w:bCs/>
                <w:color w:val="auto"/>
                <w:sz w:val="24"/>
                <w:szCs w:val="24"/>
                <w:lang w:val="en-US"/>
              </w:rPr>
              <w:t>人力资源和社会保障部门颁发</w:t>
            </w:r>
            <w:r>
              <w:rPr>
                <w:rFonts w:hint="eastAsia" w:ascii="宋体" w:hAnsi="宋体" w:cs="宋体"/>
                <w:b w:val="0"/>
                <w:bCs/>
                <w:color w:val="auto"/>
                <w:sz w:val="24"/>
                <w:szCs w:val="24"/>
                <w:lang w:val="en-US" w:eastAsia="zh-CN"/>
              </w:rPr>
              <w:t>的</w:t>
            </w:r>
            <w:r>
              <w:rPr>
                <w:rFonts w:hint="eastAsia" w:ascii="宋体" w:hAnsi="宋体" w:eastAsia="宋体" w:cs="宋体"/>
                <w:bCs/>
                <w:color w:val="auto"/>
                <w:sz w:val="24"/>
                <w:szCs w:val="24"/>
                <w:lang w:val="en-US"/>
              </w:rPr>
              <w:t>有害生物防治员职业资格证书或培训证：高级的每提供1人得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rPr>
              <w:t>分，中级的每提供1人得</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rPr>
              <w:t>分，初级的每提供1人得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rPr>
              <w:t>分，本项最高得</w:t>
            </w: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lang w:val="en-US"/>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药物储存仓库管理员具备危险化学品经营单位安全生产管理人员资格证的，得</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注2：第2项须提供上述人员的相关证书扫描件并加盖投标人公章</w:t>
            </w:r>
            <w:r>
              <w:rPr>
                <w:rFonts w:hint="eastAsia" w:ascii="宋体" w:hAnsi="宋体" w:eastAsia="宋体" w:cs="宋体"/>
                <w:b/>
                <w:bCs w:val="0"/>
                <w:color w:val="auto"/>
                <w:sz w:val="24"/>
                <w:szCs w:val="24"/>
                <w:lang w:val="en-US" w:eastAsia="zh-CN"/>
              </w:rPr>
              <w:t>和证书在“技能人才评价证书全国联网查询”（官网：</w:t>
            </w:r>
            <w:r>
              <w:rPr>
                <w:rFonts w:hint="eastAsia" w:ascii="宋体" w:hAnsi="宋体" w:eastAsia="宋体" w:cs="宋体"/>
                <w:b/>
                <w:bCs w:val="0"/>
                <w:color w:val="auto"/>
                <w:sz w:val="24"/>
                <w:szCs w:val="24"/>
                <w:lang w:val="en-US" w:eastAsia="zh-CN"/>
              </w:rPr>
              <w:fldChar w:fldCharType="begin"/>
            </w:r>
            <w:r>
              <w:rPr>
                <w:rFonts w:hint="eastAsia" w:ascii="宋体" w:hAnsi="宋体" w:eastAsia="宋体" w:cs="宋体"/>
                <w:b/>
                <w:bCs w:val="0"/>
                <w:color w:val="auto"/>
                <w:sz w:val="24"/>
                <w:szCs w:val="24"/>
                <w:lang w:val="en-US" w:eastAsia="zh-CN"/>
              </w:rPr>
              <w:instrText xml:space="preserve"> HYPERLINK "http://zscx.osta.org.cn/" </w:instrText>
            </w:r>
            <w:r>
              <w:rPr>
                <w:rFonts w:hint="eastAsia" w:ascii="宋体" w:hAnsi="宋体" w:eastAsia="宋体" w:cs="宋体"/>
                <w:b/>
                <w:bCs w:val="0"/>
                <w:color w:val="auto"/>
                <w:sz w:val="24"/>
                <w:szCs w:val="24"/>
                <w:lang w:val="en-US" w:eastAsia="zh-CN"/>
              </w:rPr>
              <w:fldChar w:fldCharType="separate"/>
            </w:r>
            <w:r>
              <w:rPr>
                <w:rFonts w:hint="eastAsia" w:ascii="宋体" w:hAnsi="宋体" w:eastAsia="宋体" w:cs="宋体"/>
                <w:b/>
                <w:bCs w:val="0"/>
                <w:color w:val="auto"/>
                <w:sz w:val="24"/>
                <w:szCs w:val="24"/>
                <w:lang w:val="en-US" w:eastAsia="zh-CN"/>
              </w:rPr>
              <w:t>http://zscx.osta.org.cn/</w:t>
            </w:r>
            <w:r>
              <w:rPr>
                <w:rFonts w:hint="eastAsia" w:ascii="宋体" w:hAnsi="宋体" w:eastAsia="宋体" w:cs="宋体"/>
                <w:b/>
                <w:bCs w:val="0"/>
                <w:color w:val="auto"/>
                <w:sz w:val="24"/>
                <w:szCs w:val="24"/>
                <w:lang w:val="en-US" w:eastAsia="zh-CN"/>
              </w:rPr>
              <w:fldChar w:fldCharType="end"/>
            </w:r>
            <w:r>
              <w:rPr>
                <w:rFonts w:hint="eastAsia" w:ascii="宋体" w:hAnsi="宋体" w:eastAsia="宋体" w:cs="宋体"/>
                <w:b/>
                <w:bCs w:val="0"/>
                <w:color w:val="auto"/>
                <w:sz w:val="24"/>
                <w:szCs w:val="24"/>
                <w:lang w:val="en-US" w:eastAsia="zh-CN"/>
              </w:rPr>
              <w:t>）的查验截图，</w:t>
            </w:r>
            <w:r>
              <w:rPr>
                <w:rFonts w:hint="eastAsia" w:ascii="宋体" w:hAnsi="宋体" w:eastAsia="宋体" w:cs="宋体"/>
                <w:b/>
                <w:bCs w:val="0"/>
                <w:color w:val="auto"/>
                <w:sz w:val="24"/>
                <w:szCs w:val="24"/>
                <w:lang w:val="en-US"/>
              </w:rPr>
              <w:t>第3项须同时提供人员相关证书</w:t>
            </w:r>
            <w:r>
              <w:rPr>
                <w:rFonts w:hint="eastAsia" w:ascii="宋体" w:hAnsi="宋体" w:eastAsia="宋体" w:cs="宋体"/>
                <w:b/>
                <w:bCs w:val="0"/>
                <w:color w:val="auto"/>
                <w:sz w:val="24"/>
                <w:szCs w:val="24"/>
                <w:lang w:val="en-US" w:eastAsia="zh-CN"/>
              </w:rPr>
              <w:t>扫描件</w:t>
            </w:r>
            <w:r>
              <w:rPr>
                <w:rFonts w:hint="eastAsia" w:ascii="宋体" w:hAnsi="宋体" w:eastAsia="宋体" w:cs="宋体"/>
                <w:b/>
                <w:bCs w:val="0"/>
                <w:color w:val="auto"/>
                <w:sz w:val="24"/>
                <w:szCs w:val="24"/>
                <w:lang w:val="en-US"/>
              </w:rPr>
              <w:t xml:space="preserve">和“特种作业操作证及安全生产知识和管理能力考核合格信息查询平台”（官网：http:/cx.mem.gov.cn/）查询截图。否则不得分。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tLeast"/>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rPr>
              <w:t>注3：上述第1-3项人员不得互相兼任，同时须提供上述人员投标截止之日前</w:t>
            </w:r>
            <w:r>
              <w:rPr>
                <w:rFonts w:hint="eastAsia" w:ascii="宋体" w:hAnsi="宋体" w:eastAsia="宋体" w:cs="宋体"/>
                <w:b/>
                <w:bCs w:val="0"/>
                <w:color w:val="auto"/>
                <w:sz w:val="24"/>
                <w:szCs w:val="24"/>
                <w:lang w:val="en-US" w:eastAsia="zh-CN"/>
              </w:rPr>
              <w:t>202</w:t>
            </w:r>
            <w:r>
              <w:rPr>
                <w:rFonts w:hint="eastAsia" w:ascii="宋体" w:hAnsi="宋体" w:cs="宋体"/>
                <w:b/>
                <w:bCs w:val="0"/>
                <w:color w:val="auto"/>
                <w:sz w:val="24"/>
                <w:szCs w:val="24"/>
                <w:lang w:val="en-US" w:eastAsia="zh-CN"/>
              </w:rPr>
              <w:t>4</w:t>
            </w:r>
            <w:r>
              <w:rPr>
                <w:rFonts w:hint="eastAsia" w:ascii="宋体" w:hAnsi="宋体" w:eastAsia="宋体" w:cs="宋体"/>
                <w:b/>
                <w:bCs w:val="0"/>
                <w:color w:val="auto"/>
                <w:sz w:val="24"/>
                <w:szCs w:val="24"/>
                <w:lang w:val="en-US" w:eastAsia="zh-CN"/>
              </w:rPr>
              <w:t>年9月至今投标人本单位为上述人员购买的</w:t>
            </w:r>
            <w:r>
              <w:rPr>
                <w:rFonts w:hint="eastAsia" w:ascii="宋体" w:hAnsi="宋体" w:eastAsia="宋体" w:cs="宋体"/>
                <w:b/>
                <w:bCs w:val="0"/>
                <w:color w:val="auto"/>
                <w:sz w:val="24"/>
                <w:szCs w:val="24"/>
                <w:lang w:val="en-US"/>
              </w:rPr>
              <w:t>社会保险参保证明扫描件</w:t>
            </w:r>
            <w:r>
              <w:rPr>
                <w:rFonts w:hint="eastAsia" w:ascii="宋体" w:hAnsi="宋体" w:eastAsia="宋体" w:cs="宋体"/>
                <w:b/>
                <w:bCs w:val="0"/>
                <w:color w:val="auto"/>
                <w:sz w:val="24"/>
                <w:szCs w:val="24"/>
                <w:lang w:val="en-US" w:eastAsia="zh-CN"/>
              </w:rPr>
              <w:t>并加盖投标人公章，否则不得分。</w:t>
            </w: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合计</w:t>
            </w:r>
          </w:p>
        </w:tc>
        <w:tc>
          <w:tcPr>
            <w:tcW w:w="68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textAlignment w:val="auto"/>
              <w:rPr>
                <w:rFonts w:hint="eastAsia" w:ascii="宋体" w:hAnsi="宋体" w:eastAsia="宋体" w:cs="宋体"/>
                <w:b/>
                <w:bCs/>
                <w:color w:val="auto"/>
                <w:sz w:val="24"/>
                <w:szCs w:val="24"/>
                <w:highlight w:val="none"/>
              </w:rPr>
            </w:pPr>
          </w:p>
        </w:tc>
        <w:tc>
          <w:tcPr>
            <w:tcW w:w="1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100分</w:t>
            </w:r>
          </w:p>
        </w:tc>
      </w:tr>
    </w:tbl>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sz w:val="10"/>
          <w:szCs w:val="1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6CDE4"/>
    <w:multiLevelType w:val="singleLevel"/>
    <w:tmpl w:val="93B6CDE4"/>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Dc3YmQwZDdkZDFjYTk5Y2MyYTYxNzdiOGE0OWUifQ=="/>
  </w:docVars>
  <w:rsids>
    <w:rsidRoot w:val="22613FCA"/>
    <w:rsid w:val="00FA0213"/>
    <w:rsid w:val="01A549EA"/>
    <w:rsid w:val="06EC58E4"/>
    <w:rsid w:val="0C2E4B3D"/>
    <w:rsid w:val="0DF12340"/>
    <w:rsid w:val="0F6B710D"/>
    <w:rsid w:val="0F7C7AC1"/>
    <w:rsid w:val="10793079"/>
    <w:rsid w:val="112879C5"/>
    <w:rsid w:val="11716160"/>
    <w:rsid w:val="13723DB8"/>
    <w:rsid w:val="22613FCA"/>
    <w:rsid w:val="245F064A"/>
    <w:rsid w:val="250C342B"/>
    <w:rsid w:val="27F971A9"/>
    <w:rsid w:val="292C4C4F"/>
    <w:rsid w:val="2CCC0BB6"/>
    <w:rsid w:val="2D6B20A5"/>
    <w:rsid w:val="2FC11C09"/>
    <w:rsid w:val="2FDC5CCC"/>
    <w:rsid w:val="317E56D7"/>
    <w:rsid w:val="31D837E0"/>
    <w:rsid w:val="372E5E9D"/>
    <w:rsid w:val="37C749C8"/>
    <w:rsid w:val="3CA803D8"/>
    <w:rsid w:val="47FA012D"/>
    <w:rsid w:val="51C07F61"/>
    <w:rsid w:val="525A2A61"/>
    <w:rsid w:val="532A2CA2"/>
    <w:rsid w:val="580C5562"/>
    <w:rsid w:val="5A8B5169"/>
    <w:rsid w:val="5E00282D"/>
    <w:rsid w:val="5ED120B3"/>
    <w:rsid w:val="5F840946"/>
    <w:rsid w:val="5F8F70AE"/>
    <w:rsid w:val="6126649C"/>
    <w:rsid w:val="628A21AA"/>
    <w:rsid w:val="6496365F"/>
    <w:rsid w:val="64FF0C2E"/>
    <w:rsid w:val="6864524C"/>
    <w:rsid w:val="69883709"/>
    <w:rsid w:val="6A3D7EAD"/>
    <w:rsid w:val="6AF82C05"/>
    <w:rsid w:val="6C13625C"/>
    <w:rsid w:val="6D8937F5"/>
    <w:rsid w:val="72B40147"/>
    <w:rsid w:val="76941144"/>
    <w:rsid w:val="77D05A4E"/>
    <w:rsid w:val="78CF22ED"/>
    <w:rsid w:val="79F57F52"/>
    <w:rsid w:val="7E615851"/>
    <w:rsid w:val="7EBE700C"/>
    <w:rsid w:val="7F96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adjustRightInd w:val="0"/>
      <w:spacing w:before="78" w:beforeLines="25" w:after="78" w:afterLines="25" w:line="360" w:lineRule="auto"/>
      <w:jc w:val="center"/>
      <w:textAlignment w:val="baseline"/>
      <w:outlineLvl w:val="1"/>
    </w:pPr>
    <w:rPr>
      <w:rFonts w:ascii="宋体" w:hAnsi="宋体"/>
      <w:b/>
      <w:kern w:val="0"/>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index 8"/>
    <w:basedOn w:val="1"/>
    <w:next w:val="1"/>
    <w:semiHidden/>
    <w:qFormat/>
    <w:uiPriority w:val="99"/>
    <w:pPr>
      <w:widowControl w:val="0"/>
      <w:spacing w:line="240" w:lineRule="auto"/>
      <w:ind w:left="2940"/>
      <w:jc w:val="both"/>
    </w:pPr>
    <w:rPr>
      <w:rFonts w:ascii="方正仿宋_GBK" w:hAnsi="Calibri" w:eastAsia="方正仿宋_GBK" w:cs="方正仿宋_GBK"/>
      <w:kern w:val="2"/>
      <w:sz w:val="32"/>
      <w:szCs w:val="32"/>
      <w:lang w:val="en-US"/>
    </w:rPr>
  </w:style>
  <w:style w:type="paragraph" w:styleId="5">
    <w:name w:val="Plain Text"/>
    <w:basedOn w:val="1"/>
    <w:qFormat/>
    <w:uiPriority w:val="99"/>
    <w:pPr>
      <w:widowControl w:val="0"/>
      <w:jc w:val="both"/>
    </w:pPr>
    <w:rPr>
      <w:rFonts w:hAnsi="Courier New"/>
      <w:kern w:val="2"/>
      <w:sz w:val="21"/>
      <w:szCs w:val="21"/>
      <w:lang w:val="en-US"/>
    </w:rPr>
  </w:style>
  <w:style w:type="paragraph" w:styleId="6">
    <w:name w:val="Body Text First Indent"/>
    <w:basedOn w:val="1"/>
    <w:qFormat/>
    <w:uiPriority w:val="0"/>
    <w:pPr>
      <w:ind w:firstLine="420" w:firstLineChars="100"/>
    </w:pPr>
  </w:style>
  <w:style w:type="character" w:styleId="9">
    <w:name w:val="FollowedHyperlink"/>
    <w:unhideWhenUsed/>
    <w:qFormat/>
    <w:uiPriority w:val="99"/>
    <w:rPr>
      <w:color w:val="800080"/>
      <w:u w:val="single"/>
    </w:rPr>
  </w:style>
  <w:style w:type="paragraph" w:styleId="10">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3</Pages>
  <Words>1812</Words>
  <Characters>1924</Characters>
  <Lines>0</Lines>
  <Paragraphs>0</Paragraphs>
  <TotalTime>21</TotalTime>
  <ScaleCrop>false</ScaleCrop>
  <LinksUpToDate>false</LinksUpToDate>
  <CharactersWithSpaces>1927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2023-03-15T08:53:00Z</dcterms:created>
  <dc:creator>cheng</dc:creator>
  <cp:lastModifiedBy>Administrator</cp:lastModifiedBy>
  <dcterms:modified xsi:type="dcterms:W3CDTF">2025-03-03T01:37:03Z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FA48BD6E96694421BA705D2A9B32BA15</vt:lpwstr>
  </property>
</Properties>
</file>