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0FBA">
      <w:pPr>
        <w:spacing w:line="560" w:lineRule="exact"/>
        <w:jc w:val="center"/>
        <w:rPr>
          <w:rFonts w:ascii="Times New Roman" w:hAnsi="Times New Roman" w:eastAsia="方正小标宋简体" w:cs="Times New Roman"/>
          <w:sz w:val="44"/>
          <w:szCs w:val="44"/>
        </w:rPr>
      </w:pPr>
    </w:p>
    <w:p w14:paraId="47461781">
      <w:pPr>
        <w:spacing w:line="560" w:lineRule="exact"/>
        <w:jc w:val="center"/>
        <w:rPr>
          <w:rFonts w:ascii="Times New Roman" w:hAnsi="Times New Roman" w:eastAsia="方正小标宋简体" w:cs="Times New Roman"/>
          <w:sz w:val="44"/>
          <w:szCs w:val="44"/>
        </w:rPr>
      </w:pPr>
    </w:p>
    <w:p w14:paraId="6A479052">
      <w:pPr>
        <w:spacing w:line="560" w:lineRule="exact"/>
        <w:jc w:val="center"/>
        <w:rPr>
          <w:rFonts w:ascii="Times New Roman" w:hAnsi="Times New Roman" w:eastAsia="方正小标宋简体" w:cs="Times New Roman"/>
          <w:sz w:val="44"/>
          <w:szCs w:val="44"/>
        </w:rPr>
      </w:pPr>
    </w:p>
    <w:p w14:paraId="1D383DC0">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ascii="Times New Roman" w:hAnsi="Times New Roman" w:eastAsia="方正小标宋简体" w:cs="Times New Roman"/>
          <w:sz w:val="44"/>
          <w:szCs w:val="44"/>
        </w:rPr>
        <w:t>2024年度第</w:t>
      </w:r>
      <w:r>
        <w:rPr>
          <w:rFonts w:hint="eastAsia" w:ascii="Times New Roman" w:hAnsi="Times New Roman" w:eastAsia="方正小标宋简体" w:cs="Times New Roman"/>
          <w:sz w:val="44"/>
          <w:szCs w:val="44"/>
        </w:rPr>
        <w:t>九十</w:t>
      </w:r>
      <w:r>
        <w:rPr>
          <w:rFonts w:ascii="Times New Roman" w:hAnsi="Times New Roman" w:eastAsia="方正小标宋简体" w:cs="Times New Roman"/>
          <w:sz w:val="44"/>
          <w:szCs w:val="44"/>
        </w:rPr>
        <w:t>批次城镇建设用地（</w:t>
      </w:r>
      <w:r>
        <w:rPr>
          <w:rFonts w:hint="eastAsia" w:ascii="Times New Roman" w:hAnsi="Times New Roman" w:eastAsia="方正小标宋简体" w:cs="Times New Roman"/>
          <w:sz w:val="44"/>
          <w:szCs w:val="44"/>
        </w:rPr>
        <w:t>低空经济产业园周边道路（经四路）建设工程</w:t>
      </w:r>
      <w:r>
        <w:rPr>
          <w:rFonts w:ascii="Times New Roman" w:hAnsi="Times New Roman" w:eastAsia="方正小标宋简体" w:cs="Times New Roman"/>
          <w:sz w:val="44"/>
          <w:szCs w:val="44"/>
        </w:rPr>
        <w:t>）的</w:t>
      </w:r>
    </w:p>
    <w:p w14:paraId="40B2437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w:t>
      </w:r>
    </w:p>
    <w:p w14:paraId="17DC984C">
      <w:pPr>
        <w:spacing w:line="560" w:lineRule="exact"/>
        <w:ind w:firstLine="640" w:firstLineChars="200"/>
        <w:rPr>
          <w:rFonts w:ascii="Times New Roman" w:hAnsi="Times New Roman" w:eastAsia="仿宋_GB2312" w:cs="Times New Roman"/>
          <w:sz w:val="32"/>
          <w:szCs w:val="32"/>
        </w:rPr>
      </w:pPr>
    </w:p>
    <w:p w14:paraId="11D3A35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赤坭镇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广州市花都区赤坭镇赤坭第二经济合作社、第八经济合作社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rPr>
        <w:t>0.</w:t>
      </w:r>
      <w:r>
        <w:rPr>
          <w:rFonts w:ascii="Times New Roman" w:hAnsi="Times New Roman" w:eastAsia="仿宋_GB2312" w:cs="Times New Roman"/>
          <w:sz w:val="32"/>
          <w:szCs w:val="24"/>
        </w:rPr>
        <w:t>3513</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7F2E42C1">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5941922F">
      <w:pPr>
        <w:numPr>
          <w:ilvl w:val="255"/>
          <w:numId w:val="0"/>
        </w:numPr>
        <w:spacing w:line="560" w:lineRule="exact"/>
        <w:ind w:firstLine="640" w:firstLineChars="20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bookmarkStart w:id="1" w:name="_Hlk187940086"/>
      <w:r>
        <w:rPr>
          <w:rFonts w:hint="eastAsia" w:ascii="Times New Roman" w:hAnsi="Times New Roman" w:eastAsia="仿宋_GB2312" w:cs="Times New Roman"/>
          <w:sz w:val="32"/>
          <w:szCs w:val="32"/>
        </w:rPr>
        <w:t>广州市花都区赤坭镇赤坭第二经济合作社、第八经济合作社</w:t>
      </w:r>
      <w:bookmarkEnd w:id="1"/>
      <w:r>
        <w:rPr>
          <w:rFonts w:ascii="Times New Roman" w:hAnsi="Times New Roman" w:eastAsia="仿宋_GB2312" w:cs="Times New Roman"/>
          <w:bCs/>
          <w:sz w:val="32"/>
          <w:szCs w:val="32"/>
        </w:rPr>
        <w:t>范围内</w:t>
      </w:r>
      <w:bookmarkEnd w:id="0"/>
      <w:r>
        <w:rPr>
          <w:rFonts w:ascii="Times New Roman" w:hAnsi="Times New Roman" w:eastAsia="仿宋_GB2312" w:cs="Times New Roman"/>
          <w:bCs/>
          <w:sz w:val="32"/>
          <w:szCs w:val="32"/>
        </w:rPr>
        <w:t>。实际征收土地范围以最终批准文件为准。</w:t>
      </w:r>
    </w:p>
    <w:p w14:paraId="69135CEA">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26E06071">
      <w:pPr>
        <w:numPr>
          <w:ilvl w:val="255"/>
          <w:numId w:val="0"/>
        </w:numPr>
        <w:spacing w:line="560" w:lineRule="exact"/>
        <w:ind w:firstLine="640" w:firstLineChars="200"/>
        <w:rPr>
          <w:rFonts w:ascii="Times New Roman" w:hAnsi="Times New Roman" w:eastAsia="仿宋_GB2312" w:cs="Times New Roman"/>
          <w:bCs/>
          <w:sz w:val="32"/>
          <w:szCs w:val="32"/>
        </w:rPr>
      </w:pPr>
      <w:bookmarkStart w:id="2" w:name="_Hlk142467650"/>
      <w:r>
        <w:rPr>
          <w:rFonts w:hint="eastAsia" w:ascii="Times New Roman" w:hAnsi="Times New Roman" w:eastAsia="仿宋_GB2312" w:cs="Times New Roman"/>
          <w:bCs/>
          <w:sz w:val="32"/>
          <w:szCs w:val="32"/>
        </w:rPr>
        <w:t>根据《中华人民共和国土地管理法》第四十五条的规定，本次征收土地目的为，为了公共利益的需要，由政府组织实施的能源、交通、水利、通信、邮政等基础设施建设需要用地的。</w:t>
      </w:r>
    </w:p>
    <w:bookmarkEnd w:id="2"/>
    <w:p w14:paraId="08E083F4">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14:paraId="2832E442">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436B8FCB">
      <w:pPr>
        <w:numPr>
          <w:ilvl w:val="255"/>
          <w:numId w:val="0"/>
        </w:numPr>
        <w:spacing w:line="560" w:lineRule="exact"/>
        <w:ind w:firstLine="640" w:firstLineChars="200"/>
        <w:rPr>
          <w:rFonts w:ascii="Times New Roman" w:hAnsi="Times New Roman" w:eastAsia="仿宋_GB2312" w:cs="Times New Roman"/>
          <w:sz w:val="32"/>
          <w:szCs w:val="32"/>
        </w:rPr>
      </w:pPr>
      <w:bookmarkStart w:id="3" w:name="_Hlk155255234"/>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广州市花都区赤坭镇赤坭第二经济合作社、第八经济合作社</w:t>
      </w:r>
      <w:bookmarkStart w:id="4" w:name="_Hlk187940109"/>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bookmarkStart w:id="5" w:name="_Hlk180748473"/>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3513公顷（5.2695亩）</w:t>
      </w:r>
      <w:bookmarkEnd w:id="5"/>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均为农用地</w:t>
      </w:r>
      <w:r>
        <w:rPr>
          <w:rFonts w:ascii="Times New Roman" w:hAnsi="Times New Roman" w:eastAsia="仿宋_GB2312" w:cs="Times New Roman"/>
          <w:sz w:val="32"/>
          <w:szCs w:val="32"/>
        </w:rPr>
        <w:t>，不涉及</w:t>
      </w:r>
      <w:r>
        <w:rPr>
          <w:rFonts w:hint="eastAsia" w:ascii="Times New Roman" w:hAnsi="Times New Roman" w:eastAsia="仿宋_GB2312" w:cs="Times New Roman"/>
          <w:sz w:val="32"/>
          <w:szCs w:val="32"/>
        </w:rPr>
        <w:t>建设用地和</w:t>
      </w:r>
      <w:r>
        <w:rPr>
          <w:rFonts w:ascii="Times New Roman" w:hAnsi="Times New Roman" w:eastAsia="仿宋_GB2312" w:cs="Times New Roman"/>
          <w:sz w:val="32"/>
          <w:szCs w:val="32"/>
        </w:rPr>
        <w:t>未利用地</w:t>
      </w:r>
      <w:r>
        <w:rPr>
          <w:rFonts w:hint="eastAsia" w:ascii="Times New Roman" w:hAnsi="Times New Roman" w:eastAsia="仿宋_GB2312" w:cs="Times New Roman"/>
          <w:sz w:val="32"/>
          <w:szCs w:val="32"/>
        </w:rPr>
        <w:t>。</w:t>
      </w:r>
    </w:p>
    <w:bookmarkEnd w:id="3"/>
    <w:bookmarkEnd w:id="4"/>
    <w:p w14:paraId="5368E735">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7A7ABA6F">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14:paraId="514F40E4">
      <w:pPr>
        <w:numPr>
          <w:ilvl w:val="255"/>
          <w:numId w:val="0"/>
        </w:numPr>
        <w:spacing w:line="560" w:lineRule="exact"/>
        <w:ind w:firstLine="640" w:firstLineChars="200"/>
        <w:rPr>
          <w:rFonts w:ascii="Times New Roman" w:hAnsi="Times New Roman" w:eastAsia="仿宋_GB2312" w:cs="Times New Roman"/>
          <w:sz w:val="32"/>
          <w:szCs w:val="32"/>
        </w:rPr>
      </w:pPr>
      <w:bookmarkStart w:id="6" w:name="_Hlk187940246"/>
      <w:r>
        <w:rPr>
          <w:rFonts w:hint="eastAsia" w:ascii="Times New Roman" w:hAnsi="Times New Roman" w:eastAsia="仿宋_GB2312" w:cs="Times New Roman"/>
          <w:sz w:val="32"/>
          <w:szCs w:val="32"/>
        </w:rPr>
        <w:t>根据《中华人民共和国土地管理法》《广东省土地管理条例》等规定，并结合《</w:t>
      </w:r>
      <w:bookmarkStart w:id="7" w:name="_Hlk161302113"/>
      <w:r>
        <w:rPr>
          <w:rFonts w:hint="eastAsia" w:ascii="Times New Roman" w:hAnsi="Times New Roman" w:eastAsia="仿宋_GB2312" w:cs="Times New Roman"/>
          <w:sz w:val="32"/>
          <w:szCs w:val="32"/>
        </w:rPr>
        <w:t>广东省自然资源厅关于广州市征收农用地区片综合地价成果的批复</w:t>
      </w:r>
      <w:bookmarkEnd w:id="7"/>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号）的规定，土地补偿标准为</w:t>
      </w:r>
      <w:r>
        <w:rPr>
          <w:rFonts w:ascii="Times New Roman" w:hAnsi="Times New Roman" w:eastAsia="仿宋_GB2312" w:cs="Times New Roman"/>
          <w:sz w:val="32"/>
          <w:szCs w:val="32"/>
        </w:rPr>
        <w:t>82.5‬万元/公顷，安置补助标准为82.5‬万元/公顷</w:t>
      </w:r>
      <w:r>
        <w:rPr>
          <w:rFonts w:hint="eastAsia" w:ascii="Times New Roman" w:hAnsi="Times New Roman" w:eastAsia="仿宋_GB2312" w:cs="Times New Roman"/>
          <w:sz w:val="32"/>
          <w:szCs w:val="32"/>
        </w:rPr>
        <w:t>。</w:t>
      </w:r>
      <w:bookmarkEnd w:id="6"/>
    </w:p>
    <w:p w14:paraId="68793B60">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14:paraId="25BE27F2">
      <w:pPr>
        <w:numPr>
          <w:ilvl w:val="255"/>
          <w:numId w:val="0"/>
        </w:numPr>
        <w:spacing w:line="560" w:lineRule="exact"/>
        <w:ind w:firstLine="640" w:firstLineChars="200"/>
        <w:rPr>
          <w:rFonts w:ascii="Times New Roman" w:hAnsi="Times New Roman" w:eastAsia="仿宋_GB2312" w:cs="Times New Roman"/>
          <w:sz w:val="32"/>
          <w:szCs w:val="32"/>
        </w:rPr>
      </w:pPr>
      <w:bookmarkStart w:id="8" w:name="_Hlk187940261"/>
      <w:r>
        <w:rPr>
          <w:rFonts w:hint="eastAsia" w:ascii="Times New Roman" w:hAnsi="Times New Roman" w:eastAsia="仿宋_GB2312" w:cs="Times New Roman"/>
          <w:sz w:val="32"/>
          <w:szCs w:val="32"/>
        </w:rPr>
        <w:t>本次征地不涉及农村村民住宅补偿。</w:t>
      </w:r>
    </w:p>
    <w:bookmarkEnd w:id="8"/>
    <w:p w14:paraId="1F39FDB8">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14:paraId="0409023B">
      <w:pPr>
        <w:numPr>
          <w:ilvl w:val="255"/>
          <w:numId w:val="0"/>
        </w:numPr>
        <w:spacing w:line="550" w:lineRule="exact"/>
        <w:ind w:firstLine="640" w:firstLineChars="200"/>
        <w:rPr>
          <w:rFonts w:eastAsia="仿宋_GB2312"/>
          <w:sz w:val="32"/>
        </w:rPr>
      </w:pPr>
      <w:bookmarkStart w:id="9" w:name="_Hlk187940290"/>
      <w:r>
        <w:rPr>
          <w:rFonts w:hint="eastAsia" w:eastAsia="仿宋_GB2312"/>
          <w:sz w:val="32"/>
        </w:rPr>
        <w:t>青苗及其他地上附着物补偿参照《广州市花都区人民政府办公室印发花都区片区征地包干补偿工作方案的通知》（花府办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hint="eastAsia" w:eastAsia="仿宋_GB2312"/>
          <w:sz w:val="32"/>
        </w:rPr>
        <w:t>）的规定执行。</w:t>
      </w:r>
    </w:p>
    <w:p w14:paraId="34415D8D">
      <w:pPr>
        <w:numPr>
          <w:ilvl w:val="255"/>
          <w:numId w:val="0"/>
        </w:numPr>
        <w:spacing w:line="55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五、安置对象</w:t>
      </w:r>
    </w:p>
    <w:p w14:paraId="4CD52AF4">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bookmarkEnd w:id="9"/>
    <w:p w14:paraId="72EDD98C">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、安置方式和社会保障</w:t>
      </w:r>
    </w:p>
    <w:p w14:paraId="29BFB2EB">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w:t>
      </w:r>
      <w:r>
        <w:rPr>
          <w:rFonts w:hint="eastAsia" w:ascii="Times New Roman" w:hAnsi="Times New Roman" w:eastAsia="仿宋_GB2312" w:cs="Times New Roman"/>
          <w:sz w:val="32"/>
          <w:szCs w:val="32"/>
        </w:rPr>
        <w:t>所需费用已包含在土地补偿费与安置补助费中。</w:t>
      </w:r>
    </w:p>
    <w:p w14:paraId="05EA7B60">
      <w:pPr>
        <w:spacing w:line="560" w:lineRule="exact"/>
        <w:ind w:firstLine="640" w:firstLineChars="200"/>
        <w:rPr>
          <w:rFonts w:eastAsia="仿宋_GB2312"/>
          <w:sz w:val="32"/>
        </w:rPr>
      </w:pPr>
      <w:r>
        <w:rPr>
          <w:rFonts w:eastAsia="仿宋_GB2312"/>
          <w:sz w:val="32"/>
        </w:rPr>
        <w:t>（二）留用地安置。</w:t>
      </w:r>
      <w:bookmarkStart w:id="10" w:name="_Hlk152336574"/>
      <w:bookmarkStart w:id="11" w:name="_Hlk187940305"/>
      <w:r>
        <w:rPr>
          <w:rFonts w:hint="eastAsia" w:ascii="Times New Roman" w:hAnsi="Times New Roman" w:eastAsia="仿宋_GB2312" w:cs="Times New Roman"/>
          <w:sz w:val="32"/>
          <w:szCs w:val="32"/>
        </w:rPr>
        <w:t>根据《印发广东省征收农村集体土地留用地管理办法（试行）的通知》（粤府办〔</w:t>
      </w:r>
      <w:r>
        <w:rPr>
          <w:rFonts w:ascii="Times New Roman" w:hAnsi="Times New Roman" w:eastAsia="仿宋_GB2312" w:cs="Times New Roman"/>
          <w:sz w:val="32"/>
          <w:szCs w:val="32"/>
        </w:rPr>
        <w:t>2009〕41号）、《广东省人民政府办公厅关于加强征收农村集体土地留用地安置管理工作的意见》（粤府办〔2016〕30号），参照《广州市人民政府办公厅关于进一步加强征收农村集体土地留用地管理的意见》（穗府办规〔2018〕17号）相关规定，已办理规划用地手续的留用地再次被政府征收的，按原抵扣留用地指标面积等量返还留用地指标，剩余部分按实际征地面积的10%</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实</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留地</w:t>
      </w:r>
      <w:r>
        <w:rPr>
          <w:rFonts w:hint="eastAsia" w:ascii="Times New Roman" w:hAnsi="Times New Roman" w:eastAsia="仿宋_GB2312" w:cs="Times New Roman"/>
          <w:sz w:val="32"/>
          <w:szCs w:val="32"/>
        </w:rPr>
        <w:t>方式安排留用地</w:t>
      </w:r>
      <w:r>
        <w:rPr>
          <w:rFonts w:hint="eastAsia" w:eastAsia="仿宋_GB2312"/>
          <w:sz w:val="32"/>
        </w:rPr>
        <w:t>。</w:t>
      </w:r>
      <w:bookmarkEnd w:id="10"/>
    </w:p>
    <w:bookmarkEnd w:id="11"/>
    <w:p w14:paraId="350191B6">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w:t>
      </w:r>
      <w:r>
        <w:rPr>
          <w:rFonts w:hint="eastAsia" w:ascii="Times New Roman" w:hAnsi="Times New Roman" w:eastAsia="仿宋_GB2312" w:cs="Times New Roman"/>
          <w:sz w:val="32"/>
          <w:szCs w:val="32"/>
        </w:rPr>
        <w:t>该项目征收赤坭镇赤坭村</w:t>
      </w:r>
      <w:r>
        <w:rPr>
          <w:rFonts w:ascii="Times New Roman" w:hAnsi="Times New Roman" w:eastAsia="仿宋_GB2312" w:cs="Times New Roman"/>
          <w:sz w:val="32"/>
          <w:szCs w:val="32"/>
        </w:rPr>
        <w:t>土地面积共5.2695亩，征地双方已于</w:t>
      </w:r>
      <w:r>
        <w:rPr>
          <w:rFonts w:hint="eastAsia" w:ascii="Times New Roman" w:hAnsi="Times New Roman" w:eastAsia="仿宋_GB2312" w:cs="Times New Roman"/>
          <w:sz w:val="32"/>
          <w:szCs w:val="32"/>
        </w:rPr>
        <w:t>2012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月完成征地补偿安置协议签订，根据《广东省人民政府办公厅转发省人力资源社会保障厅关于进一步完善我省被征地农民养老保障政策意见的通知》（粤府办〔2021〕22号）第八点规定执行原征地社保政策，核定该项目涉及应纳入养老保障范围的被征地农民</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人，按1.62万元/人标准一次性计提征地社保费共</w:t>
      </w:r>
      <w:r>
        <w:rPr>
          <w:rFonts w:hint="eastAsia" w:ascii="Times New Roman" w:hAnsi="Times New Roman" w:eastAsia="仿宋_GB2312" w:cs="Times New Roman"/>
          <w:sz w:val="32"/>
          <w:szCs w:val="32"/>
        </w:rPr>
        <w:t>3.24</w:t>
      </w:r>
      <w:r>
        <w:rPr>
          <w:rFonts w:ascii="Times New Roman" w:hAnsi="Times New Roman" w:eastAsia="仿宋_GB2312" w:cs="Times New Roman"/>
          <w:sz w:val="32"/>
          <w:szCs w:val="32"/>
        </w:rPr>
        <w:t>万元，预存入区“收缴被征地农民养老保障资金过渡户”，专款用于被征地农民养老保障。</w:t>
      </w:r>
    </w:p>
    <w:p w14:paraId="43C738CB">
      <w:pPr>
        <w:numPr>
          <w:ilvl w:val="255"/>
          <w:numId w:val="0"/>
        </w:numPr>
        <w:spacing w:line="560" w:lineRule="exact"/>
        <w:rPr>
          <w:rFonts w:ascii="Times New Roman" w:hAnsi="Times New Roman" w:eastAsia="仿宋_GB2312" w:cs="Times New Roman"/>
          <w:bCs/>
          <w:sz w:val="30"/>
          <w:szCs w:val="30"/>
        </w:rPr>
      </w:pPr>
    </w:p>
    <w:p w14:paraId="21367CB0">
      <w:pPr>
        <w:numPr>
          <w:ilvl w:val="255"/>
          <w:numId w:val="0"/>
        </w:numPr>
        <w:spacing w:line="560" w:lineRule="exact"/>
        <w:rPr>
          <w:rFonts w:ascii="Times New Roman" w:hAnsi="Times New Roman" w:eastAsia="仿宋_GB2312" w:cs="Times New Roman"/>
          <w:bCs/>
          <w:sz w:val="30"/>
          <w:szCs w:val="30"/>
        </w:rPr>
      </w:pPr>
    </w:p>
    <w:p w14:paraId="1AA14713">
      <w:pPr>
        <w:numPr>
          <w:ilvl w:val="255"/>
          <w:numId w:val="0"/>
        </w:numPr>
        <w:spacing w:line="560" w:lineRule="exact"/>
        <w:rPr>
          <w:rFonts w:ascii="Times New Roman" w:hAnsi="Times New Roman" w:eastAsia="仿宋_GB2312" w:cs="Times New Roman"/>
          <w:bCs/>
          <w:sz w:val="30"/>
          <w:szCs w:val="30"/>
        </w:rPr>
      </w:pPr>
    </w:p>
    <w:p w14:paraId="657957F3">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7B2FE389">
      <w:pPr>
        <w:wordWrap w:val="0"/>
        <w:spacing w:line="560" w:lineRule="exact"/>
        <w:ind w:right="320"/>
        <w:jc w:val="right"/>
        <w:rPr>
          <w:rFonts w:ascii="Times New Roman" w:hAnsi="Times New Roman" w:eastAsia="仿宋_GB2312" w:cs="Times New Roman"/>
          <w:szCs w:val="24"/>
        </w:rPr>
      </w:pPr>
      <w:bookmarkStart w:id="12" w:name="_GoBack"/>
      <w:bookmarkEnd w:id="12"/>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sectPr>
      <w:footerReference r:id="rId3" w:type="default"/>
      <w:pgSz w:w="11906" w:h="16838"/>
      <w:pgMar w:top="1440" w:right="1800" w:bottom="1440" w:left="1800"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077791"/>
      <w:docPartObj>
        <w:docPartGallery w:val="AutoText"/>
      </w:docPartObj>
    </w:sdtPr>
    <w:sdtContent>
      <w:p w14:paraId="7803C4B4">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0683B"/>
    <w:rsid w:val="00036749"/>
    <w:rsid w:val="00041071"/>
    <w:rsid w:val="00072859"/>
    <w:rsid w:val="00082361"/>
    <w:rsid w:val="000B145B"/>
    <w:rsid w:val="000B7092"/>
    <w:rsid w:val="000D4B79"/>
    <w:rsid w:val="000E5884"/>
    <w:rsid w:val="000F4B96"/>
    <w:rsid w:val="00102C0F"/>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231C2"/>
    <w:rsid w:val="002269C3"/>
    <w:rsid w:val="00234876"/>
    <w:rsid w:val="00272022"/>
    <w:rsid w:val="00275650"/>
    <w:rsid w:val="002B1617"/>
    <w:rsid w:val="002B1663"/>
    <w:rsid w:val="002E24C8"/>
    <w:rsid w:val="002E4AD9"/>
    <w:rsid w:val="003009DE"/>
    <w:rsid w:val="0031459E"/>
    <w:rsid w:val="003162A3"/>
    <w:rsid w:val="003173F7"/>
    <w:rsid w:val="00324AE5"/>
    <w:rsid w:val="00326331"/>
    <w:rsid w:val="00335BE3"/>
    <w:rsid w:val="00365CF1"/>
    <w:rsid w:val="00386225"/>
    <w:rsid w:val="003A6945"/>
    <w:rsid w:val="003A7453"/>
    <w:rsid w:val="003A7E44"/>
    <w:rsid w:val="003B5108"/>
    <w:rsid w:val="003C5634"/>
    <w:rsid w:val="003F5777"/>
    <w:rsid w:val="00416964"/>
    <w:rsid w:val="00416C7C"/>
    <w:rsid w:val="00450798"/>
    <w:rsid w:val="0047585C"/>
    <w:rsid w:val="0048599C"/>
    <w:rsid w:val="00491728"/>
    <w:rsid w:val="004969ED"/>
    <w:rsid w:val="004A1605"/>
    <w:rsid w:val="004B531D"/>
    <w:rsid w:val="004C37CF"/>
    <w:rsid w:val="004D6C66"/>
    <w:rsid w:val="004E6319"/>
    <w:rsid w:val="00531C37"/>
    <w:rsid w:val="0055511B"/>
    <w:rsid w:val="0056539F"/>
    <w:rsid w:val="00566A08"/>
    <w:rsid w:val="00577200"/>
    <w:rsid w:val="00580D0D"/>
    <w:rsid w:val="00581B80"/>
    <w:rsid w:val="00584267"/>
    <w:rsid w:val="00590E7C"/>
    <w:rsid w:val="00596ED2"/>
    <w:rsid w:val="005C711C"/>
    <w:rsid w:val="005C7F9F"/>
    <w:rsid w:val="005D7F5E"/>
    <w:rsid w:val="00604E24"/>
    <w:rsid w:val="0062628C"/>
    <w:rsid w:val="00627569"/>
    <w:rsid w:val="0065057C"/>
    <w:rsid w:val="00653DA6"/>
    <w:rsid w:val="00654482"/>
    <w:rsid w:val="00660736"/>
    <w:rsid w:val="006759DD"/>
    <w:rsid w:val="00680E37"/>
    <w:rsid w:val="00685574"/>
    <w:rsid w:val="006958E6"/>
    <w:rsid w:val="006A32A0"/>
    <w:rsid w:val="006A79FF"/>
    <w:rsid w:val="006B0B55"/>
    <w:rsid w:val="006C7CB1"/>
    <w:rsid w:val="006E3F94"/>
    <w:rsid w:val="006F1593"/>
    <w:rsid w:val="006F28CB"/>
    <w:rsid w:val="00704570"/>
    <w:rsid w:val="00716A43"/>
    <w:rsid w:val="007215D1"/>
    <w:rsid w:val="00722953"/>
    <w:rsid w:val="00725F31"/>
    <w:rsid w:val="00730954"/>
    <w:rsid w:val="00733448"/>
    <w:rsid w:val="00733F6A"/>
    <w:rsid w:val="0074592B"/>
    <w:rsid w:val="007560ED"/>
    <w:rsid w:val="00760D52"/>
    <w:rsid w:val="007A04C0"/>
    <w:rsid w:val="007B44AA"/>
    <w:rsid w:val="007B5785"/>
    <w:rsid w:val="007C68CD"/>
    <w:rsid w:val="007F7339"/>
    <w:rsid w:val="00802012"/>
    <w:rsid w:val="00831673"/>
    <w:rsid w:val="0084102A"/>
    <w:rsid w:val="00890FF9"/>
    <w:rsid w:val="00895E44"/>
    <w:rsid w:val="008A2C49"/>
    <w:rsid w:val="008B4AEF"/>
    <w:rsid w:val="008D31FF"/>
    <w:rsid w:val="008D5E31"/>
    <w:rsid w:val="008E1164"/>
    <w:rsid w:val="009239CE"/>
    <w:rsid w:val="00953100"/>
    <w:rsid w:val="0095360A"/>
    <w:rsid w:val="009536EC"/>
    <w:rsid w:val="009540AA"/>
    <w:rsid w:val="00954428"/>
    <w:rsid w:val="00961FDE"/>
    <w:rsid w:val="00964B9B"/>
    <w:rsid w:val="00977C58"/>
    <w:rsid w:val="009800A8"/>
    <w:rsid w:val="00992E49"/>
    <w:rsid w:val="009A7A41"/>
    <w:rsid w:val="009B1324"/>
    <w:rsid w:val="009C3122"/>
    <w:rsid w:val="00A71FFB"/>
    <w:rsid w:val="00A75F31"/>
    <w:rsid w:val="00A905AC"/>
    <w:rsid w:val="00A93EB2"/>
    <w:rsid w:val="00AB1F54"/>
    <w:rsid w:val="00AB6737"/>
    <w:rsid w:val="00AD53AF"/>
    <w:rsid w:val="00AD6E00"/>
    <w:rsid w:val="00AE2AB9"/>
    <w:rsid w:val="00AF1EC7"/>
    <w:rsid w:val="00B05D16"/>
    <w:rsid w:val="00B55392"/>
    <w:rsid w:val="00B64AE2"/>
    <w:rsid w:val="00B70CD1"/>
    <w:rsid w:val="00B84848"/>
    <w:rsid w:val="00BA56A9"/>
    <w:rsid w:val="00BA67C7"/>
    <w:rsid w:val="00BB433F"/>
    <w:rsid w:val="00C04337"/>
    <w:rsid w:val="00C05B92"/>
    <w:rsid w:val="00C05E90"/>
    <w:rsid w:val="00C4429A"/>
    <w:rsid w:val="00C53D10"/>
    <w:rsid w:val="00C555BB"/>
    <w:rsid w:val="00C6512F"/>
    <w:rsid w:val="00CB07E2"/>
    <w:rsid w:val="00CB39EF"/>
    <w:rsid w:val="00CB6605"/>
    <w:rsid w:val="00CD4AD1"/>
    <w:rsid w:val="00CF34CC"/>
    <w:rsid w:val="00D005E9"/>
    <w:rsid w:val="00D26F24"/>
    <w:rsid w:val="00D34160"/>
    <w:rsid w:val="00D400FC"/>
    <w:rsid w:val="00D60569"/>
    <w:rsid w:val="00D67C50"/>
    <w:rsid w:val="00D77C52"/>
    <w:rsid w:val="00DA702D"/>
    <w:rsid w:val="00DB6415"/>
    <w:rsid w:val="00DD02D2"/>
    <w:rsid w:val="00DD35B4"/>
    <w:rsid w:val="00DD6AFD"/>
    <w:rsid w:val="00DF0871"/>
    <w:rsid w:val="00E0418E"/>
    <w:rsid w:val="00E07D35"/>
    <w:rsid w:val="00E25971"/>
    <w:rsid w:val="00E2743F"/>
    <w:rsid w:val="00E300BE"/>
    <w:rsid w:val="00E341B2"/>
    <w:rsid w:val="00E602B0"/>
    <w:rsid w:val="00E84953"/>
    <w:rsid w:val="00E93AF4"/>
    <w:rsid w:val="00EB668E"/>
    <w:rsid w:val="00EC04F8"/>
    <w:rsid w:val="00EC2153"/>
    <w:rsid w:val="00EE681C"/>
    <w:rsid w:val="00F06F9F"/>
    <w:rsid w:val="00F25471"/>
    <w:rsid w:val="00F357A7"/>
    <w:rsid w:val="00F37D74"/>
    <w:rsid w:val="00F545F5"/>
    <w:rsid w:val="00F87166"/>
    <w:rsid w:val="00F91515"/>
    <w:rsid w:val="00FC4F3E"/>
    <w:rsid w:val="00FC530B"/>
    <w:rsid w:val="00FD593F"/>
    <w:rsid w:val="00FD6583"/>
    <w:rsid w:val="00FE5F71"/>
    <w:rsid w:val="273C6BB3"/>
    <w:rsid w:val="34BA79CA"/>
    <w:rsid w:val="37A56BB4"/>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Revision"/>
    <w:hidden/>
    <w:semiHidden/>
    <w:uiPriority w:val="99"/>
    <w:rPr>
      <w:rFonts w:asciiTheme="minorHAnsi" w:hAnsiTheme="minorHAnsi" w:eastAsiaTheme="minorEastAsia" w:cstheme="minorBidi"/>
      <w:kern w:val="2"/>
      <w:sz w:val="21"/>
      <w:szCs w:val="22"/>
      <w:lang w:val="en-US" w:eastAsia="zh-CN" w:bidi="ar-SA"/>
    </w:rPr>
  </w:style>
  <w:style w:type="paragraph" w:styleId="10">
    <w:name w:val="List Paragraph"/>
    <w:basedOn w:val="1"/>
    <w:uiPriority w:val="99"/>
    <w:pPr>
      <w:ind w:firstLine="420" w:firstLineChars="200"/>
    </w:pPr>
  </w:style>
  <w:style w:type="character" w:customStyle="1" w:styleId="11">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230</Words>
  <Characters>1315</Characters>
  <Lines>10</Lines>
  <Paragraphs>3</Paragraphs>
  <TotalTime>1070</TotalTime>
  <ScaleCrop>false</ScaleCrop>
  <LinksUpToDate>false</LinksUpToDate>
  <CharactersWithSpaces>1542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陈湘鹏</cp:lastModifiedBy>
  <cp:lastPrinted>2025-02-27T03:36:46Z</cp:lastPrinted>
  <dcterms:modified xsi:type="dcterms:W3CDTF">2025-02-27T03:38:31Z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C2CFDA2A3C9A497DA137C2368319EB16_12</vt:lpwstr>
  </property>
</Properties>
</file>