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3CB1">
      <w:pPr>
        <w:spacing w:line="534" w:lineRule="exact"/>
        <w:jc w:val="center"/>
        <w:rPr>
          <w:rFonts w:ascii="方正小标宋简体" w:hAnsi="方正小标宋简体" w:eastAsia="方正小标宋简体" w:cs="方正小标宋简体"/>
          <w:sz w:val="44"/>
          <w:szCs w:val="44"/>
          <w:lang w:eastAsia="zh-CN"/>
        </w:rPr>
      </w:pPr>
      <w:bookmarkStart w:id="0" w:name="_GoBack"/>
      <w:bookmarkEnd w:id="0"/>
    </w:p>
    <w:p w14:paraId="64A17C7E">
      <w:pPr>
        <w:spacing w:line="534" w:lineRule="exact"/>
        <w:jc w:val="center"/>
        <w:rPr>
          <w:rFonts w:ascii="方正小标宋简体" w:hAnsi="方正小标宋简体" w:eastAsia="方正小标宋简体" w:cs="方正小标宋简体"/>
          <w:sz w:val="44"/>
          <w:szCs w:val="44"/>
          <w:lang w:eastAsia="zh-CN"/>
        </w:rPr>
      </w:pPr>
    </w:p>
    <w:p w14:paraId="5ED3D36A">
      <w:pPr>
        <w:spacing w:line="534" w:lineRule="exact"/>
        <w:jc w:val="center"/>
        <w:rPr>
          <w:rFonts w:ascii="方正小标宋简体" w:hAnsi="方正小标宋简体" w:eastAsia="方正小标宋简体" w:cs="方正小标宋简体"/>
          <w:sz w:val="44"/>
          <w:szCs w:val="44"/>
          <w:lang w:eastAsia="zh-CN"/>
        </w:rPr>
      </w:pPr>
    </w:p>
    <w:p w14:paraId="65FED8E4">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w:t>
      </w:r>
      <w:r>
        <w:rPr>
          <w:rFonts w:hint="eastAsia" w:ascii="方正小标宋简体" w:hAnsi="方正小标宋简体" w:eastAsia="方正小标宋简体" w:cs="方正小标宋简体"/>
          <w:sz w:val="44"/>
          <w:szCs w:val="44"/>
          <w:lang w:val="en-US" w:eastAsia="zh-CN"/>
        </w:rPr>
        <w:t>八十五</w:t>
      </w:r>
      <w:r>
        <w:rPr>
          <w:rFonts w:hint="eastAsia" w:ascii="方正小标宋简体" w:hAnsi="方正小标宋简体" w:eastAsia="方正小标宋简体" w:cs="方正小标宋简体"/>
          <w:sz w:val="44"/>
          <w:szCs w:val="44"/>
          <w:lang w:eastAsia="zh-CN"/>
        </w:rPr>
        <w:t>批次</w:t>
      </w:r>
    </w:p>
    <w:p w14:paraId="7CBDD679">
      <w:pPr>
        <w:spacing w:line="534"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城镇建设用地（</w:t>
      </w:r>
      <w:r>
        <w:rPr>
          <w:rFonts w:hint="eastAsia" w:ascii="方正小标宋简体" w:hAnsi="方正小标宋简体" w:eastAsia="方正小标宋简体" w:cs="方正小标宋简体"/>
          <w:sz w:val="44"/>
          <w:szCs w:val="44"/>
          <w:lang w:val="en-US" w:eastAsia="zh-CN"/>
        </w:rPr>
        <w:t>新雅街广塘村经济发展</w:t>
      </w:r>
    </w:p>
    <w:p w14:paraId="23475AAD">
      <w:pPr>
        <w:spacing w:line="534" w:lineRule="exact"/>
        <w:jc w:val="center"/>
        <w:rPr>
          <w:lang w:eastAsia="zh-CN"/>
        </w:rPr>
      </w:pPr>
      <w:r>
        <w:rPr>
          <w:rFonts w:hint="eastAsia" w:ascii="方正小标宋简体" w:hAnsi="方正小标宋简体" w:eastAsia="方正小标宋简体" w:cs="方正小标宋简体"/>
          <w:sz w:val="44"/>
          <w:szCs w:val="44"/>
          <w:lang w:val="en-US" w:eastAsia="zh-CN"/>
        </w:rPr>
        <w:t>留用地</w:t>
      </w:r>
      <w:r>
        <w:rPr>
          <w:rFonts w:hint="eastAsia" w:ascii="方正小标宋简体" w:hAnsi="方正小标宋简体" w:eastAsia="方正小标宋简体" w:cs="方正小标宋简体"/>
          <w:sz w:val="44"/>
          <w:szCs w:val="44"/>
          <w:lang w:eastAsia="zh-CN"/>
        </w:rPr>
        <w:t>）的征地补偿安置方案</w:t>
      </w:r>
    </w:p>
    <w:p w14:paraId="3688CD05">
      <w:pPr>
        <w:pStyle w:val="4"/>
        <w:spacing w:before="0" w:line="560" w:lineRule="exact"/>
        <w:ind w:left="0" w:firstLine="640" w:firstLineChars="200"/>
        <w:jc w:val="both"/>
        <w:rPr>
          <w:rFonts w:hint="eastAsia" w:ascii="仿宋_GB2312" w:hAnsi="仿宋_GB2312" w:eastAsia="仿宋_GB2312" w:cs="仿宋_GB2312"/>
          <w:lang w:eastAsia="zh-CN"/>
        </w:rPr>
      </w:pPr>
    </w:p>
    <w:p w14:paraId="7F926F63">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val="en-US" w:eastAsia="zh-CN"/>
        </w:rPr>
        <w:t>新雅街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w:t>
      </w:r>
      <w:r>
        <w:rPr>
          <w:rFonts w:hint="eastAsia" w:ascii="仿宋_GB2312" w:hAnsi="仿宋_GB2312" w:eastAsia="仿宋_GB2312" w:cs="仿宋_GB2312"/>
          <w:spacing w:val="5"/>
          <w:lang w:val="en-US" w:eastAsia="zh-CN"/>
        </w:rPr>
        <w:t>新雅街广塘村白蟮塘</w:t>
      </w:r>
      <w:r>
        <w:rPr>
          <w:rFonts w:hint="eastAsia" w:ascii="仿宋_GB2312" w:hAnsi="仿宋_GB2312" w:eastAsia="仿宋_GB2312" w:cs="仿宋_GB2312"/>
          <w:spacing w:val="5"/>
          <w:lang w:eastAsia="zh-CN"/>
        </w:rPr>
        <w:t>经济合作社属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val="en-US" w:eastAsia="zh-CN"/>
        </w:rPr>
        <w:t>3.1040公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66DAB2DC">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3F575CB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default" w:ascii="Times New Roman" w:hAnsi="Times New Roman" w:eastAsia="仿宋_GB2312" w:cs="Times New Roman"/>
          <w:spacing w:val="0"/>
          <w:sz w:val="32"/>
          <w:szCs w:val="32"/>
          <w:lang w:eastAsia="zh-CN"/>
        </w:rPr>
        <w:t>广州市花都区</w:t>
      </w:r>
      <w:r>
        <w:rPr>
          <w:rFonts w:hint="eastAsia" w:ascii="Times New Roman" w:hAnsi="Times New Roman" w:eastAsia="仿宋_GB2312" w:cs="Times New Roman"/>
          <w:spacing w:val="0"/>
          <w:sz w:val="32"/>
          <w:szCs w:val="32"/>
          <w:lang w:val="en-US" w:eastAsia="zh-CN"/>
        </w:rPr>
        <w:t>新雅街广塘</w:t>
      </w:r>
      <w:r>
        <w:rPr>
          <w:rFonts w:hint="default" w:ascii="Times New Roman" w:hAnsi="Times New Roman" w:eastAsia="仿宋_GB2312" w:cs="Times New Roman"/>
          <w:spacing w:val="0"/>
          <w:sz w:val="32"/>
          <w:szCs w:val="32"/>
          <w:lang w:eastAsia="zh-CN"/>
        </w:rPr>
        <w:t>村</w:t>
      </w:r>
      <w:r>
        <w:rPr>
          <w:rFonts w:hint="eastAsia" w:ascii="Times New Roman" w:hAnsi="Times New Roman" w:eastAsia="仿宋_GB2312" w:cs="Times New Roman"/>
          <w:spacing w:val="0"/>
          <w:sz w:val="32"/>
          <w:szCs w:val="32"/>
          <w:lang w:val="en-US" w:eastAsia="zh-CN"/>
        </w:rPr>
        <w:t>白蟮塘</w:t>
      </w:r>
      <w:r>
        <w:rPr>
          <w:rFonts w:hint="default" w:ascii="Times New Roman" w:hAnsi="Times New Roman" w:eastAsia="仿宋_GB2312" w:cs="Times New Roman"/>
          <w:spacing w:val="0"/>
          <w:sz w:val="32"/>
          <w:szCs w:val="32"/>
          <w:lang w:eastAsia="zh-CN"/>
        </w:rPr>
        <w:t>经济合作社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val="en-US" w:eastAsia="zh-CN"/>
        </w:rPr>
        <w:t>具体位置详见附图。</w:t>
      </w:r>
      <w:r>
        <w:rPr>
          <w:rFonts w:hint="eastAsia" w:ascii="Times New Roman" w:hAnsi="Times New Roman" w:eastAsia="仿宋_GB2312" w:cs="Times New Roman"/>
          <w:sz w:val="32"/>
          <w:szCs w:val="32"/>
          <w:lang w:eastAsia="zh-CN"/>
        </w:rPr>
        <w:t>实际征收土地范围以最终批准文件为准。</w:t>
      </w:r>
    </w:p>
    <w:p w14:paraId="20A5FFD9">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13207BB0">
      <w:pPr>
        <w:spacing w:line="560" w:lineRule="exact"/>
        <w:ind w:firstLine="640" w:firstLineChars="200"/>
        <w:jc w:val="both"/>
        <w:rPr>
          <w:rFonts w:hint="eastAsia" w:ascii="黑体" w:hAnsi="黑体" w:eastAsia="黑体" w:cs="黑体"/>
          <w:lang w:eastAsia="zh-CN"/>
        </w:rPr>
      </w:pPr>
      <w:r>
        <w:rPr>
          <w:rFonts w:hint="eastAsia" w:ascii="Times New Roman" w:hAnsi="Times New Roman" w:eastAsia="仿宋_GB2312" w:cs="Times New Roman"/>
          <w:sz w:val="32"/>
          <w:szCs w:val="32"/>
          <w:lang w:eastAsia="zh-CN"/>
        </w:rPr>
        <w:t>根据《中华人民共和国土地管</w:t>
      </w:r>
      <w:r>
        <w:rPr>
          <w:rFonts w:hint="eastAsia" w:ascii="Times New Roman" w:hAnsi="Times New Roman" w:eastAsia="仿宋_GB2312" w:cs="Times New Roman"/>
          <w:sz w:val="32"/>
          <w:szCs w:val="32"/>
          <w:highlight w:val="none"/>
          <w:lang w:eastAsia="zh-CN"/>
        </w:rPr>
        <w:t>理法》第四十五条的规定，本次征收土地</w:t>
      </w:r>
      <w:r>
        <w:rPr>
          <w:rFonts w:hint="eastAsia" w:ascii="Times New Roman" w:hAnsi="Times New Roman" w:eastAsia="仿宋_GB2312" w:cs="Times New Roman"/>
          <w:color w:val="auto"/>
          <w:sz w:val="32"/>
          <w:szCs w:val="32"/>
          <w:highlight w:val="none"/>
          <w:lang w:eastAsia="zh-CN"/>
        </w:rPr>
        <w:t>目的</w:t>
      </w: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sz w:val="32"/>
          <w:szCs w:val="32"/>
          <w:highlight w:val="none"/>
          <w:lang w:eastAsia="zh-CN"/>
        </w:rPr>
        <w:t>为了公共利益的需要，在</w:t>
      </w:r>
      <w:r>
        <w:rPr>
          <w:rFonts w:hint="eastAsia" w:ascii="Times New Roman" w:hAnsi="Times New Roman" w:eastAsia="仿宋_GB2312" w:cs="Times New Roman"/>
          <w:sz w:val="32"/>
          <w:szCs w:val="32"/>
          <w:highlight w:val="none"/>
          <w:lang w:val="en-US" w:eastAsia="zh-CN"/>
        </w:rPr>
        <w:t>国土空间</w:t>
      </w:r>
      <w:r>
        <w:rPr>
          <w:rFonts w:hint="eastAsia" w:ascii="Times New Roman" w:hAnsi="Times New Roman" w:eastAsia="仿宋_GB2312" w:cs="Times New Roman"/>
          <w:sz w:val="32"/>
          <w:szCs w:val="32"/>
          <w:highlight w:val="none"/>
          <w:lang w:eastAsia="zh-CN"/>
        </w:rPr>
        <w:t>总体规划确定的城镇建设用地范围内，经省级以上人民政府批准由县级以上地方人民政府组织实施的成片开发建设需要用地。</w:t>
      </w:r>
    </w:p>
    <w:p w14:paraId="490108D1">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7BF66CF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76286C17">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lang w:eastAsia="zh-CN"/>
        </w:rPr>
        <w:t>拟征收</w:t>
      </w:r>
      <w:r>
        <w:rPr>
          <w:rFonts w:hint="eastAsia" w:ascii="仿宋_GB2312" w:hAnsi="仿宋_GB2312" w:eastAsia="仿宋_GB2312" w:cs="仿宋_GB2312"/>
          <w:spacing w:val="5"/>
          <w:lang w:eastAsia="zh-CN"/>
        </w:rPr>
        <w:t>广州市花都区</w:t>
      </w:r>
      <w:r>
        <w:rPr>
          <w:rFonts w:hint="eastAsia" w:ascii="仿宋_GB2312" w:hAnsi="仿宋_GB2312" w:eastAsia="仿宋_GB2312" w:cs="仿宋_GB2312"/>
          <w:spacing w:val="5"/>
          <w:lang w:val="en-US" w:eastAsia="zh-CN"/>
        </w:rPr>
        <w:t>新雅街广塘</w:t>
      </w:r>
      <w:r>
        <w:rPr>
          <w:rFonts w:hint="eastAsia" w:ascii="仿宋_GB2312" w:hAnsi="仿宋_GB2312" w:eastAsia="仿宋_GB2312" w:cs="仿宋_GB2312"/>
          <w:spacing w:val="5"/>
          <w:lang w:eastAsia="zh-CN"/>
        </w:rPr>
        <w:t>村</w:t>
      </w:r>
      <w:r>
        <w:rPr>
          <w:rFonts w:hint="eastAsia" w:ascii="仿宋_GB2312" w:hAnsi="仿宋_GB2312" w:eastAsia="仿宋_GB2312" w:cs="仿宋_GB2312"/>
          <w:spacing w:val="5"/>
          <w:lang w:val="en-US" w:eastAsia="zh-CN"/>
        </w:rPr>
        <w:t>白蟮塘</w:t>
      </w:r>
      <w:r>
        <w:rPr>
          <w:rFonts w:hint="eastAsia" w:ascii="仿宋_GB2312" w:hAnsi="仿宋_GB2312" w:eastAsia="仿宋_GB2312" w:cs="仿宋_GB2312"/>
          <w:spacing w:val="5"/>
          <w:lang w:eastAsia="zh-CN"/>
        </w:rPr>
        <w:t>经济合作社</w:t>
      </w:r>
      <w:r>
        <w:rPr>
          <w:rFonts w:hint="default" w:ascii="Times New Roman" w:hAnsi="Times New Roman" w:eastAsia="仿宋_GB2312" w:cs="Times New Roman"/>
          <w:lang w:eastAsia="zh-CN"/>
        </w:rPr>
        <w:t>属下的集体</w:t>
      </w:r>
      <w:r>
        <w:rPr>
          <w:rFonts w:hint="eastAsia" w:ascii="Times New Roman" w:hAnsi="Times New Roman" w:eastAsia="仿宋_GB2312" w:cs="Times New Roman"/>
          <w:lang w:val="en-US" w:eastAsia="zh-CN"/>
        </w:rPr>
        <w:t>所有</w:t>
      </w:r>
      <w:r>
        <w:rPr>
          <w:rFonts w:hint="default" w:ascii="Times New Roman" w:hAnsi="Times New Roman" w:eastAsia="仿宋_GB2312" w:cs="Times New Roman"/>
          <w:lang w:eastAsia="zh-CN"/>
        </w:rPr>
        <w:t>土地</w:t>
      </w:r>
      <w:r>
        <w:rPr>
          <w:rFonts w:hint="eastAsia" w:ascii="Times New Roman" w:hAnsi="Times New Roman" w:eastAsia="仿宋_GB2312" w:cs="Times New Roman"/>
          <w:lang w:val="en-US" w:eastAsia="zh-CN"/>
        </w:rPr>
        <w:t>3.1040</w:t>
      </w:r>
      <w:r>
        <w:rPr>
          <w:rFonts w:hint="default" w:ascii="Times New Roman" w:hAnsi="Times New Roman" w:eastAsia="仿宋_GB2312" w:cs="Times New Roman"/>
          <w:lang w:eastAsia="zh-CN"/>
        </w:rPr>
        <w:t>公顷（</w:t>
      </w:r>
      <w:r>
        <w:rPr>
          <w:rFonts w:hint="eastAsia" w:ascii="Times New Roman" w:hAnsi="Times New Roman" w:eastAsia="仿宋_GB2312" w:cs="Times New Roman"/>
          <w:lang w:val="en-US" w:eastAsia="zh-CN"/>
        </w:rPr>
        <w:t>46.56</w:t>
      </w:r>
      <w:r>
        <w:rPr>
          <w:rFonts w:hint="default" w:ascii="Times New Roman" w:hAnsi="Times New Roman" w:eastAsia="仿宋_GB2312" w:cs="Times New Roman"/>
          <w:lang w:eastAsia="zh-CN"/>
        </w:rPr>
        <w:t>亩）</w:t>
      </w:r>
      <w:r>
        <w:rPr>
          <w:rFonts w:hint="eastAsia" w:ascii="Times New Roman" w:hAnsi="Times New Roman" w:eastAsia="仿宋_GB2312" w:cs="Times New Roman"/>
          <w:lang w:eastAsia="zh-CN"/>
        </w:rPr>
        <w:t>。其中建设用地</w:t>
      </w:r>
      <w:r>
        <w:rPr>
          <w:rFonts w:hint="eastAsia" w:ascii="Times New Roman" w:hAnsi="Times New Roman" w:eastAsia="仿宋_GB2312" w:cs="Times New Roman"/>
          <w:lang w:val="en-US" w:eastAsia="zh-CN"/>
        </w:rPr>
        <w:t>3.1040公顷（46.56亩）</w:t>
      </w:r>
      <w:r>
        <w:rPr>
          <w:rFonts w:hint="eastAsia" w:ascii="Times New Roman" w:hAnsi="Times New Roman" w:eastAsia="仿宋_GB2312" w:cs="Times New Roman"/>
          <w:lang w:eastAsia="zh-CN"/>
        </w:rPr>
        <w:t>，不涉及</w:t>
      </w:r>
      <w:r>
        <w:rPr>
          <w:rFonts w:hint="eastAsia" w:ascii="Times New Roman" w:hAnsi="Times New Roman" w:eastAsia="仿宋_GB2312" w:cs="Times New Roman"/>
          <w:lang w:val="en-US" w:eastAsia="zh-CN"/>
        </w:rPr>
        <w:t>农用地和</w:t>
      </w:r>
      <w:r>
        <w:rPr>
          <w:rFonts w:hint="eastAsia" w:ascii="Times New Roman" w:hAnsi="Times New Roman" w:eastAsia="仿宋_GB2312" w:cs="Times New Roman"/>
          <w:lang w:eastAsia="zh-CN"/>
        </w:rPr>
        <w:t>未利用地。</w:t>
      </w:r>
    </w:p>
    <w:p w14:paraId="0E984C05">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16FABB7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1C76D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根据《广东省自然资源厅关于广州市征收农用地区片综合地价成果的批复》（粤自然资函〔2024〕103号）的规定，土地补偿标准为120万元/公顷，安置补助标准为120万元/公顷。被征地村集体经济组织已于202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代表会议，经表决同意不再由政府支付土地补偿费、安置补助费。</w:t>
      </w:r>
    </w:p>
    <w:p w14:paraId="35D4D1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63CFD4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4CC4FE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684E7B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eastAsia="zh-CN"/>
        </w:rPr>
      </w:pPr>
      <w:r>
        <w:rPr>
          <w:rFonts w:hint="eastAsia" w:ascii="Times New Roman" w:hAnsi="Times New Roman" w:eastAsia="仿宋_GB2312" w:cs="Times New Roman"/>
          <w:bCs/>
          <w:kern w:val="2"/>
          <w:sz w:val="32"/>
          <w:szCs w:val="32"/>
          <w:lang w:eastAsia="zh-CN"/>
        </w:rPr>
        <w:t>本次征地不涉及</w:t>
      </w:r>
      <w:r>
        <w:rPr>
          <w:rFonts w:hint="eastAsia" w:ascii="Times New Roman" w:hAnsi="Times New Roman" w:eastAsia="仿宋_GB2312" w:cs="Times New Roman"/>
          <w:bCs/>
          <w:kern w:val="2"/>
          <w:sz w:val="32"/>
          <w:szCs w:val="32"/>
          <w:lang w:val="en-US" w:eastAsia="zh-CN"/>
        </w:rPr>
        <w:t>青苗及其他地上附着物</w:t>
      </w:r>
      <w:r>
        <w:rPr>
          <w:rFonts w:hint="eastAsia" w:ascii="Times New Roman" w:hAnsi="Times New Roman" w:eastAsia="仿宋_GB2312" w:cs="Times New Roman"/>
          <w:bCs/>
          <w:kern w:val="2"/>
          <w:sz w:val="32"/>
          <w:szCs w:val="32"/>
          <w:lang w:eastAsia="zh-CN"/>
        </w:rPr>
        <w:t>补偿。</w:t>
      </w:r>
    </w:p>
    <w:p w14:paraId="2FBA014F">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4250727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43C05194">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288953DB">
      <w:pPr>
        <w:spacing w:line="56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w:t>
      </w:r>
      <w:r>
        <w:rPr>
          <w:rFonts w:hint="eastAsia" w:ascii="Times New Roman" w:hAnsi="Times New Roman" w:eastAsia="仿宋_GB2312" w:cs="Times New Roman"/>
          <w:sz w:val="32"/>
          <w:szCs w:val="32"/>
          <w:lang w:eastAsia="zh-CN"/>
        </w:rPr>
        <w:t>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代表会议，经表决同意不再由政府支付补偿。</w:t>
      </w:r>
    </w:p>
    <w:p w14:paraId="2FC5DFEB">
      <w:pPr>
        <w:spacing w:line="560" w:lineRule="exact"/>
        <w:ind w:firstLine="640" w:firstLineChars="200"/>
        <w:jc w:val="both"/>
        <w:rPr>
          <w:rFonts w:hint="default" w:ascii="Times New Roman" w:hAnsi="Times New Roman" w:eastAsia="仿宋_GB2312" w:cs="Times New Roman"/>
          <w:color w:val="FF0000"/>
          <w:sz w:val="32"/>
          <w:szCs w:val="32"/>
          <w:lang w:val="en-US" w:eastAsia="zh-CN"/>
        </w:rPr>
      </w:pPr>
      <w:r>
        <w:rPr>
          <w:rFonts w:ascii="Times New Roman" w:hAnsi="Times New Roman" w:eastAsia="仿宋_GB2312" w:cs="Times New Roman"/>
          <w:sz w:val="32"/>
          <w:szCs w:val="32"/>
          <w:lang w:eastAsia="zh-CN"/>
        </w:rPr>
        <w:t>（二）留用地安置。</w:t>
      </w:r>
      <w:r>
        <w:rPr>
          <w:rFonts w:hint="eastAsia" w:ascii="Times New Roman" w:hAnsi="Times New Roman" w:eastAsia="仿宋_GB2312" w:cs="Times New Roman"/>
          <w:sz w:val="32"/>
          <w:szCs w:val="32"/>
          <w:lang w:eastAsia="zh-CN"/>
        </w:rPr>
        <w:t>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代表会议，经表决同意不再</w:t>
      </w:r>
      <w:r>
        <w:rPr>
          <w:rFonts w:hint="eastAsia" w:ascii="Times New Roman" w:hAnsi="Times New Roman" w:eastAsia="仿宋_GB2312" w:cs="Times New Roman"/>
          <w:sz w:val="32"/>
          <w:szCs w:val="32"/>
          <w:lang w:val="en-US" w:eastAsia="zh-CN"/>
        </w:rPr>
        <w:t>安排留用地，也不折算货币补偿。</w:t>
      </w:r>
    </w:p>
    <w:p w14:paraId="1EF0EE76">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eastAsia="zh-CN"/>
        </w:rPr>
        <w:t>（三）社会保障费用。</w:t>
      </w:r>
      <w:r>
        <w:rPr>
          <w:rFonts w:hint="eastAsia" w:ascii="Times New Roman" w:hAnsi="Times New Roman" w:eastAsia="仿宋_GB2312" w:cs="Times New Roman"/>
          <w:sz w:val="32"/>
          <w:szCs w:val="32"/>
          <w:lang w:val="en-US" w:eastAsia="zh-CN"/>
        </w:rPr>
        <w:t>该项目征收新雅街广塘村</w:t>
      </w:r>
      <w:r>
        <w:rPr>
          <w:rFonts w:hint="eastAsia" w:ascii="Times New Roman" w:hAnsi="Times New Roman" w:eastAsia="仿宋_GB2312" w:cs="Times New Roman"/>
          <w:spacing w:val="0"/>
          <w:sz w:val="32"/>
          <w:szCs w:val="32"/>
          <w:lang w:val="en-US" w:eastAsia="zh-CN"/>
        </w:rPr>
        <w:t>白蟮塘</w:t>
      </w:r>
      <w:r>
        <w:rPr>
          <w:rFonts w:hint="default" w:ascii="Times New Roman" w:hAnsi="Times New Roman" w:eastAsia="仿宋_GB2312" w:cs="Times New Roman"/>
          <w:spacing w:val="0"/>
          <w:sz w:val="32"/>
          <w:szCs w:val="32"/>
          <w:lang w:eastAsia="zh-CN"/>
        </w:rPr>
        <w:t>经济合作社</w:t>
      </w:r>
      <w:r>
        <w:rPr>
          <w:rFonts w:hint="eastAsia" w:ascii="Times New Roman" w:hAnsi="Times New Roman" w:eastAsia="仿宋_GB2312" w:cs="Times New Roman"/>
          <w:spacing w:val="0"/>
          <w:sz w:val="32"/>
          <w:szCs w:val="32"/>
          <w:lang w:val="en-US" w:eastAsia="zh-CN"/>
        </w:rPr>
        <w:t>土地面积共46.56亩，全部属于被征地农村集体经济组织留用地，根据《广东省人民政府办公厅转发省人力资源社会保障厅关于进一步完善我省被征地农民养老保障政策意见的通知》（粤府办〔2021〕22号）第二点规定不计提征地社保费。</w:t>
      </w:r>
      <w:r>
        <w:rPr>
          <w:rFonts w:hint="eastAsia" w:ascii="Times New Roman" w:hAnsi="Times New Roman" w:eastAsia="仿宋_GB2312" w:cs="Times New Roman"/>
          <w:sz w:val="32"/>
          <w:szCs w:val="32"/>
          <w:lang w:eastAsia="zh-CN"/>
        </w:rPr>
        <w:t>被征地村集体经济组织已于202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eastAsia="zh-CN"/>
        </w:rPr>
        <w:t>日召开</w:t>
      </w:r>
      <w:r>
        <w:rPr>
          <w:rFonts w:hint="eastAsia" w:ascii="Times New Roman" w:hAnsi="Times New Roman" w:eastAsia="仿宋_GB2312" w:cs="Times New Roman"/>
          <w:sz w:val="32"/>
          <w:szCs w:val="32"/>
          <w:lang w:val="en-US" w:eastAsia="zh-CN"/>
        </w:rPr>
        <w:t>村民户</w:t>
      </w:r>
      <w:r>
        <w:rPr>
          <w:rFonts w:hint="eastAsia" w:ascii="Times New Roman" w:hAnsi="Times New Roman" w:eastAsia="仿宋_GB2312" w:cs="Times New Roman"/>
          <w:sz w:val="32"/>
          <w:szCs w:val="32"/>
          <w:lang w:eastAsia="zh-CN"/>
        </w:rPr>
        <w:t>代表会议</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经表决同意</w:t>
      </w:r>
      <w:r>
        <w:rPr>
          <w:rFonts w:hint="eastAsia" w:ascii="Times New Roman" w:hAnsi="Times New Roman" w:eastAsia="仿宋_GB2312" w:cs="Times New Roman"/>
          <w:sz w:val="32"/>
          <w:szCs w:val="32"/>
          <w:lang w:val="en-US" w:eastAsia="zh-CN"/>
        </w:rPr>
        <w:t>不再缴纳和计提社保费，不再办理社保审核手续。</w:t>
      </w:r>
    </w:p>
    <w:p w14:paraId="1750152D">
      <w:pPr>
        <w:pStyle w:val="4"/>
        <w:spacing w:before="0" w:line="437" w:lineRule="exact"/>
        <w:ind w:left="0" w:right="260"/>
        <w:jc w:val="right"/>
        <w:rPr>
          <w:rFonts w:ascii="仿宋_GB2312" w:hAnsi="仿宋_GB2312" w:eastAsia="仿宋_GB2312" w:cs="仿宋_GB2312"/>
          <w:lang w:eastAsia="zh-CN"/>
        </w:rPr>
      </w:pPr>
    </w:p>
    <w:p w14:paraId="13892695">
      <w:pPr>
        <w:pStyle w:val="4"/>
        <w:spacing w:before="0" w:line="437" w:lineRule="exact"/>
        <w:ind w:left="0" w:right="260"/>
        <w:jc w:val="right"/>
        <w:rPr>
          <w:rFonts w:ascii="仿宋_GB2312" w:hAnsi="仿宋_GB2312" w:eastAsia="仿宋_GB2312" w:cs="仿宋_GB2312"/>
          <w:lang w:eastAsia="zh-CN"/>
        </w:rPr>
      </w:pPr>
    </w:p>
    <w:p w14:paraId="1DC8EEE6">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7DE024C5">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2</w:t>
      </w:r>
      <w:r>
        <w:rPr>
          <w:rFonts w:ascii="Times New Roman" w:hAnsi="Times New Roman" w:eastAsia="仿宋_GB2312" w:cs="Times New Roman"/>
        </w:rPr>
        <w:t>月</w:t>
      </w:r>
      <w:r>
        <w:rPr>
          <w:rFonts w:hint="eastAsia" w:ascii="Times New Roman" w:hAnsi="Times New Roman" w:eastAsia="仿宋_GB2312" w:cs="Times New Roman"/>
          <w:lang w:val="en-US" w:eastAsia="zh-CN"/>
        </w:rPr>
        <w:t>X</w:t>
      </w:r>
      <w:r>
        <w:rPr>
          <w:rFonts w:ascii="Times New Roman" w:hAnsi="Times New Roman" w:eastAsia="仿宋_GB2312" w:cs="Times New Roman"/>
        </w:rPr>
        <w:t>日</w:t>
      </w:r>
    </w:p>
    <w:sectPr>
      <w:footerReference r:id="rId3" w:type="default"/>
      <w:pgSz w:w="11910" w:h="16840"/>
      <w:pgMar w:top="1587" w:right="1695" w:bottom="1701" w:left="1587"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A9B2">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7BD4286">
                          <w:pPr>
                            <w:spacing w:line="203" w:lineRule="exact"/>
                            <w:ind w:left="40"/>
                            <w:rPr>
                              <w:rFonts w:ascii="Calibri" w:hAnsi="Calibri" w:eastAsia="Calibri" w:cs="Calibri"/>
                              <w:sz w:val="18"/>
                              <w:szCs w:val="18"/>
                            </w:rPr>
                          </w:pPr>
                        </w:p>
                      </w:txbxContent>
                    </wps:txbx>
                    <wps:bodyPr lIns="0" tIns="0" rIns="0" bIns="0" upright="1"/>
                  </wps:wsp>
                </a:graphicData>
              </a:graphic>
            </wp:anchor>
          </w:drawing>
        </mc:Choice>
        <mc:Fallback>
          <w:pict>
            <v:shape id="文本框 1025"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rjVc2wAAAA0BAAAPAAAAAAAAAAEAIAAAACIAAABkcnMvZG93bnJldi54bWxQ&#10;SwECFAAUAAAACACHTuJAJuv/G7sBAAB0AwAADgAAAAAAAAABACAAAAAqAQAAZHJzL2Uyb0RvYy54&#10;bWxQSwUGAAAAAAYABgBZAQAAVwUAAAAA&#10;">
              <v:fill on="f" focussize="0,0"/>
              <v:stroke on="f"/>
              <v:imagedata o:title=""/>
              <o:lock v:ext="edit" aspectratio="f"/>
              <v:textbox inset="0mm,0mm,0mm,0mm">
                <w:txbxContent>
                  <w:p w14:paraId="27BD4286">
                    <w:pPr>
                      <w:spacing w:line="203" w:lineRule="exact"/>
                      <w:ind w:left="40"/>
                      <w:rPr>
                        <w:rFonts w:ascii="Calibri" w:hAnsi="Calibri" w:eastAsia="Calibri" w:cs="Calibri"/>
                        <w:sz w:val="18"/>
                        <w:szCs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revisionView w:markup="0"/>
  <w:trackRevisions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B9"/>
    <w:rsid w:val="00023D1D"/>
    <w:rsid w:val="00087FC9"/>
    <w:rsid w:val="000C21D6"/>
    <w:rsid w:val="000E3907"/>
    <w:rsid w:val="001A0BB8"/>
    <w:rsid w:val="001A1F6A"/>
    <w:rsid w:val="0020273F"/>
    <w:rsid w:val="002A343D"/>
    <w:rsid w:val="002F2545"/>
    <w:rsid w:val="00345770"/>
    <w:rsid w:val="00371629"/>
    <w:rsid w:val="0037606F"/>
    <w:rsid w:val="004E23CE"/>
    <w:rsid w:val="004F014A"/>
    <w:rsid w:val="004F4AB3"/>
    <w:rsid w:val="00510062"/>
    <w:rsid w:val="00583581"/>
    <w:rsid w:val="005A4BAB"/>
    <w:rsid w:val="00606DD4"/>
    <w:rsid w:val="006446B9"/>
    <w:rsid w:val="007017B3"/>
    <w:rsid w:val="007905B8"/>
    <w:rsid w:val="00812E7C"/>
    <w:rsid w:val="008620FD"/>
    <w:rsid w:val="00890462"/>
    <w:rsid w:val="008E0F0A"/>
    <w:rsid w:val="00910F80"/>
    <w:rsid w:val="009462E9"/>
    <w:rsid w:val="00953156"/>
    <w:rsid w:val="009C2DE4"/>
    <w:rsid w:val="00AE0CC4"/>
    <w:rsid w:val="00AF5BE0"/>
    <w:rsid w:val="00B15EE1"/>
    <w:rsid w:val="00B749E6"/>
    <w:rsid w:val="00B95BB3"/>
    <w:rsid w:val="00BF52D8"/>
    <w:rsid w:val="00C07288"/>
    <w:rsid w:val="00C525F8"/>
    <w:rsid w:val="00C946D4"/>
    <w:rsid w:val="00E56C97"/>
    <w:rsid w:val="00EA0DDD"/>
    <w:rsid w:val="00EB0E65"/>
    <w:rsid w:val="00F04619"/>
    <w:rsid w:val="00F869B9"/>
    <w:rsid w:val="022A33E1"/>
    <w:rsid w:val="02B47861"/>
    <w:rsid w:val="038E7DC7"/>
    <w:rsid w:val="04654DC4"/>
    <w:rsid w:val="061125BE"/>
    <w:rsid w:val="07990EBE"/>
    <w:rsid w:val="0822151D"/>
    <w:rsid w:val="08682950"/>
    <w:rsid w:val="08D87341"/>
    <w:rsid w:val="0A2335E3"/>
    <w:rsid w:val="0AAF45C2"/>
    <w:rsid w:val="0BC12118"/>
    <w:rsid w:val="0C890300"/>
    <w:rsid w:val="0E7F14E6"/>
    <w:rsid w:val="0EC46C8A"/>
    <w:rsid w:val="0F064AD5"/>
    <w:rsid w:val="1133035D"/>
    <w:rsid w:val="11CE11EC"/>
    <w:rsid w:val="13947D45"/>
    <w:rsid w:val="161B7A15"/>
    <w:rsid w:val="162B00EE"/>
    <w:rsid w:val="16E50DE0"/>
    <w:rsid w:val="17F315AE"/>
    <w:rsid w:val="19977D8A"/>
    <w:rsid w:val="19C85B71"/>
    <w:rsid w:val="1C2E2056"/>
    <w:rsid w:val="1D350BA9"/>
    <w:rsid w:val="1D815A80"/>
    <w:rsid w:val="1E034DBD"/>
    <w:rsid w:val="207A57D0"/>
    <w:rsid w:val="219E39B8"/>
    <w:rsid w:val="22102ABA"/>
    <w:rsid w:val="24510545"/>
    <w:rsid w:val="25477C36"/>
    <w:rsid w:val="264D6EA8"/>
    <w:rsid w:val="288A0F78"/>
    <w:rsid w:val="29C73F17"/>
    <w:rsid w:val="2A2850B2"/>
    <w:rsid w:val="2AF4778E"/>
    <w:rsid w:val="2BE439BC"/>
    <w:rsid w:val="2BE83DDD"/>
    <w:rsid w:val="2D4844B3"/>
    <w:rsid w:val="2F2F33BB"/>
    <w:rsid w:val="3071123E"/>
    <w:rsid w:val="31BB5C7A"/>
    <w:rsid w:val="32770709"/>
    <w:rsid w:val="32912CD9"/>
    <w:rsid w:val="32F51B26"/>
    <w:rsid w:val="33085EB0"/>
    <w:rsid w:val="34394804"/>
    <w:rsid w:val="34CC172C"/>
    <w:rsid w:val="39A42B0C"/>
    <w:rsid w:val="3A1C0A7A"/>
    <w:rsid w:val="3B8E0546"/>
    <w:rsid w:val="3C10769B"/>
    <w:rsid w:val="3CBA3269"/>
    <w:rsid w:val="3D4536F5"/>
    <w:rsid w:val="3F9C401E"/>
    <w:rsid w:val="410F5E07"/>
    <w:rsid w:val="44A61FBA"/>
    <w:rsid w:val="46753A21"/>
    <w:rsid w:val="468726E8"/>
    <w:rsid w:val="47EA5951"/>
    <w:rsid w:val="488A4EBA"/>
    <w:rsid w:val="4AFC72A1"/>
    <w:rsid w:val="4CCF4510"/>
    <w:rsid w:val="4D4F0EAF"/>
    <w:rsid w:val="4F536F5C"/>
    <w:rsid w:val="4FDC68BF"/>
    <w:rsid w:val="505F6CEB"/>
    <w:rsid w:val="50715987"/>
    <w:rsid w:val="53D675C5"/>
    <w:rsid w:val="54382FF3"/>
    <w:rsid w:val="54E02594"/>
    <w:rsid w:val="56FA52CA"/>
    <w:rsid w:val="58070181"/>
    <w:rsid w:val="58502C4E"/>
    <w:rsid w:val="5AA00541"/>
    <w:rsid w:val="5B303262"/>
    <w:rsid w:val="5B7728AA"/>
    <w:rsid w:val="5D132772"/>
    <w:rsid w:val="5D3C0503"/>
    <w:rsid w:val="5EF369C2"/>
    <w:rsid w:val="5F7D66C9"/>
    <w:rsid w:val="606E70C0"/>
    <w:rsid w:val="62844552"/>
    <w:rsid w:val="62EB68CE"/>
    <w:rsid w:val="635F0129"/>
    <w:rsid w:val="63714235"/>
    <w:rsid w:val="6488303F"/>
    <w:rsid w:val="64ED2421"/>
    <w:rsid w:val="671A7149"/>
    <w:rsid w:val="67DB4659"/>
    <w:rsid w:val="67DE670F"/>
    <w:rsid w:val="682968DB"/>
    <w:rsid w:val="682D49C8"/>
    <w:rsid w:val="685E1F8F"/>
    <w:rsid w:val="6B015D7A"/>
    <w:rsid w:val="6DB30687"/>
    <w:rsid w:val="6F8C3791"/>
    <w:rsid w:val="708E5910"/>
    <w:rsid w:val="70E91BB0"/>
    <w:rsid w:val="71377406"/>
    <w:rsid w:val="71C65C86"/>
    <w:rsid w:val="737E2183"/>
    <w:rsid w:val="7473278D"/>
    <w:rsid w:val="747B57C1"/>
    <w:rsid w:val="75B44CF4"/>
    <w:rsid w:val="768B3F84"/>
    <w:rsid w:val="76910A96"/>
    <w:rsid w:val="786971C9"/>
    <w:rsid w:val="78EA6370"/>
    <w:rsid w:val="7A3D7256"/>
    <w:rsid w:val="7C4176FE"/>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1268</Words>
  <Characters>1332</Characters>
  <Lines>11</Lines>
  <Paragraphs>3</Paragraphs>
  <TotalTime>0</TotalTime>
  <ScaleCrop>false</ScaleCrop>
  <LinksUpToDate>false</LinksUpToDate>
  <CharactersWithSpaces>1377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雪碧先生</cp:lastModifiedBy>
  <cp:lastPrinted>2024-08-06T02:50:00Z</cp:lastPrinted>
  <dcterms:modified xsi:type="dcterms:W3CDTF">2025-02-28T07:46:59Z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2052-12.1.0.20305</vt:lpwstr>
  </property>
  <property fmtid="{D5CDD505-2E9C-101B-9397-08002B2CF9AE}" pid="6" name="ICV">
    <vt:lpwstr>63C5007440704B4292C10D208B8440D3_13</vt:lpwstr>
  </property>
  <property fmtid="{D5CDD505-2E9C-101B-9397-08002B2CF9AE}" pid="7" name="KSOTemplateDocerSaveRecord">
    <vt:lpwstr>eyJoZGlkIjoiZWVkZjhiMTJhYWE1MzkzZThjY2MzY2NmYjYzZGEwYmEiLCJ1c2VySWQiOiIyODUxMjMzOTQifQ==</vt:lpwstr>
  </property>
</Properties>
</file>