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5ECDE">
      <w:pPr>
        <w:keepNext w:val="0"/>
        <w:keepLines w:val="0"/>
        <w:pageBreakBefore w:val="0"/>
        <w:kinsoku/>
        <w:overflowPunct/>
        <w:topLinePunct w:val="0"/>
        <w:autoSpaceDE/>
        <w:autoSpaceDN/>
        <w:bidi w:val="0"/>
        <w:adjustRightInd/>
        <w:snapToGrid/>
        <w:spacing w:line="576" w:lineRule="exact"/>
        <w:ind w:left="-178" w:leftChars="-85" w:right="-153" w:rightChars="-73"/>
        <w:jc w:val="center"/>
        <w:textAlignment w:val="auto"/>
        <w:rPr>
          <w:rFonts w:hint="eastAsia" w:ascii="方正小标宋_GBK" w:hAnsi="方正小标宋_GBK" w:eastAsia="方正小标宋_GBK" w:cs="方正小标宋_GBK"/>
          <w:b w:val="0"/>
          <w:bCs/>
          <w:sz w:val="44"/>
          <w:szCs w:val="44"/>
          <w:highlight w:val="none"/>
          <w:lang w:val="en-US" w:eastAsia="zh-CN"/>
        </w:rPr>
      </w:pPr>
      <w:r>
        <w:rPr>
          <w:rFonts w:hint="eastAsia" w:ascii="方正小标宋_GBK" w:hAnsi="方正小标宋_GBK" w:eastAsia="方正小标宋_GBK" w:cs="方正小标宋_GBK"/>
          <w:b w:val="0"/>
          <w:bCs/>
          <w:sz w:val="44"/>
          <w:szCs w:val="44"/>
          <w:highlight w:val="none"/>
        </w:rPr>
        <w:t>广州市花都区</w:t>
      </w:r>
      <w:r>
        <w:rPr>
          <w:rFonts w:hint="eastAsia" w:ascii="方正小标宋_GBK" w:hAnsi="方正小标宋_GBK" w:eastAsia="方正小标宋_GBK" w:cs="方正小标宋_GBK"/>
          <w:b w:val="0"/>
          <w:bCs/>
          <w:sz w:val="44"/>
          <w:szCs w:val="44"/>
          <w:highlight w:val="none"/>
          <w:lang w:val="en-US" w:eastAsia="zh-CN"/>
        </w:rPr>
        <w:t>人力资源和社会保障局</w:t>
      </w:r>
    </w:p>
    <w:p w14:paraId="0615CE3C">
      <w:pPr>
        <w:keepNext w:val="0"/>
        <w:keepLines w:val="0"/>
        <w:pageBreakBefore w:val="0"/>
        <w:kinsoku/>
        <w:overflowPunct/>
        <w:topLinePunct w:val="0"/>
        <w:autoSpaceDE/>
        <w:autoSpaceDN/>
        <w:bidi w:val="0"/>
        <w:adjustRightInd/>
        <w:snapToGrid/>
        <w:spacing w:line="576" w:lineRule="exact"/>
        <w:ind w:left="-178" w:leftChars="-85" w:right="-153" w:rightChars="-73"/>
        <w:jc w:val="center"/>
        <w:textAlignment w:val="auto"/>
        <w:rPr>
          <w:rFonts w:hint="eastAsia" w:ascii="方正小标宋_GBK" w:hAnsi="方正小标宋_GBK" w:eastAsia="方正小标宋_GBK" w:cs="方正小标宋_GBK"/>
          <w:b w:val="0"/>
          <w:bCs/>
          <w:sz w:val="44"/>
          <w:szCs w:val="44"/>
          <w:highlight w:val="none"/>
        </w:rPr>
      </w:pPr>
      <w:r>
        <w:rPr>
          <w:rFonts w:hint="eastAsia" w:ascii="方正小标宋_GBK" w:hAnsi="方正小标宋_GBK" w:eastAsia="方正小标宋_GBK" w:cs="方正小标宋_GBK"/>
          <w:b w:val="0"/>
          <w:bCs/>
          <w:sz w:val="44"/>
          <w:szCs w:val="44"/>
          <w:highlight w:val="none"/>
          <w:lang w:val="en-US" w:eastAsia="zh-CN"/>
        </w:rPr>
        <w:t>2024</w:t>
      </w:r>
      <w:r>
        <w:rPr>
          <w:rFonts w:hint="eastAsia" w:ascii="方正小标宋_GBK" w:hAnsi="方正小标宋_GBK" w:eastAsia="方正小标宋_GBK" w:cs="方正小标宋_GBK"/>
          <w:b w:val="0"/>
          <w:bCs/>
          <w:sz w:val="44"/>
          <w:szCs w:val="44"/>
          <w:highlight w:val="none"/>
        </w:rPr>
        <w:t>年度行政许可实施和监督</w:t>
      </w:r>
    </w:p>
    <w:p w14:paraId="5941EE26">
      <w:pPr>
        <w:keepNext w:val="0"/>
        <w:keepLines w:val="0"/>
        <w:pageBreakBefore w:val="0"/>
        <w:kinsoku/>
        <w:overflowPunct/>
        <w:topLinePunct w:val="0"/>
        <w:autoSpaceDE/>
        <w:autoSpaceDN/>
        <w:bidi w:val="0"/>
        <w:adjustRightInd/>
        <w:snapToGrid/>
        <w:spacing w:line="576" w:lineRule="exact"/>
        <w:ind w:left="-178" w:leftChars="-85" w:right="-153" w:rightChars="-73"/>
        <w:jc w:val="center"/>
        <w:textAlignment w:val="auto"/>
        <w:rPr>
          <w:rFonts w:hint="eastAsia" w:ascii="方正小标宋_GBK" w:hAnsi="方正小标宋_GBK" w:eastAsia="方正小标宋_GBK" w:cs="方正小标宋_GBK"/>
          <w:b w:val="0"/>
          <w:bCs/>
          <w:sz w:val="44"/>
          <w:szCs w:val="44"/>
          <w:highlight w:val="none"/>
        </w:rPr>
      </w:pPr>
      <w:r>
        <w:rPr>
          <w:rFonts w:hint="eastAsia" w:ascii="方正小标宋_GBK" w:hAnsi="方正小标宋_GBK" w:eastAsia="方正小标宋_GBK" w:cs="方正小标宋_GBK"/>
          <w:b w:val="0"/>
          <w:bCs/>
          <w:sz w:val="44"/>
          <w:szCs w:val="44"/>
          <w:highlight w:val="none"/>
        </w:rPr>
        <w:t>管理情况报告</w:t>
      </w:r>
    </w:p>
    <w:p w14:paraId="417A60C5">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highlight w:val="none"/>
        </w:rPr>
      </w:pPr>
    </w:p>
    <w:p w14:paraId="2D52C50D">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根据</w:t>
      </w:r>
      <w:r>
        <w:rPr>
          <w:rFonts w:ascii="仿宋_GB2312" w:eastAsia="仿宋_GB2312"/>
          <w:sz w:val="32"/>
          <w:szCs w:val="32"/>
          <w:highlight w:val="none"/>
        </w:rPr>
        <w:t>《</w:t>
      </w:r>
      <w:r>
        <w:rPr>
          <w:rFonts w:hint="eastAsia" w:ascii="仿宋_GB2312" w:eastAsia="仿宋_GB2312"/>
          <w:sz w:val="32"/>
          <w:szCs w:val="32"/>
          <w:highlight w:val="none"/>
          <w:lang w:val="en-US" w:eastAsia="zh-CN"/>
        </w:rPr>
        <w:t>广东省行政许可监督管理条例</w:t>
      </w:r>
      <w:r>
        <w:rPr>
          <w:rFonts w:ascii="仿宋_GB2312" w:eastAsia="仿宋_GB2312"/>
          <w:sz w:val="32"/>
          <w:szCs w:val="32"/>
          <w:highlight w:val="none"/>
        </w:rPr>
        <w:t>》</w:t>
      </w:r>
      <w:r>
        <w:rPr>
          <w:rFonts w:hint="eastAsia" w:ascii="仿宋_GB2312" w:eastAsia="仿宋_GB2312"/>
          <w:sz w:val="32"/>
          <w:szCs w:val="32"/>
          <w:highlight w:val="none"/>
          <w:lang w:val="en-US" w:eastAsia="zh-CN"/>
        </w:rPr>
        <w:t>的</w:t>
      </w:r>
      <w:r>
        <w:rPr>
          <w:rFonts w:hint="eastAsia" w:ascii="仿宋_GB2312" w:eastAsia="仿宋_GB2312"/>
          <w:sz w:val="32"/>
          <w:szCs w:val="32"/>
          <w:highlight w:val="none"/>
        </w:rPr>
        <w:t>要求，现将我单位</w:t>
      </w:r>
      <w:r>
        <w:rPr>
          <w:rFonts w:hint="eastAsia" w:ascii="仿宋_GB2312" w:eastAsia="仿宋_GB2312"/>
          <w:sz w:val="32"/>
          <w:szCs w:val="32"/>
          <w:highlight w:val="none"/>
          <w:lang w:val="en-US" w:eastAsia="zh-CN"/>
        </w:rPr>
        <w:t>2024</w:t>
      </w:r>
      <w:r>
        <w:rPr>
          <w:rFonts w:hint="eastAsia" w:ascii="仿宋_GB2312" w:eastAsia="仿宋_GB2312"/>
          <w:sz w:val="32"/>
          <w:szCs w:val="32"/>
          <w:highlight w:val="none"/>
        </w:rPr>
        <w:t>年行政许可实施和监督管理情况报告如下：</w:t>
      </w:r>
    </w:p>
    <w:p w14:paraId="495010D3">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rPr>
        <w:t>一、基本情况</w:t>
      </w:r>
    </w:p>
    <w:p w14:paraId="63D9E912">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eastAsia" w:ascii="黑体" w:hAnsi="黑体" w:eastAsia="黑体"/>
          <w:sz w:val="32"/>
          <w:szCs w:val="32"/>
          <w:highlight w:val="none"/>
        </w:rPr>
      </w:pPr>
      <w:r>
        <w:rPr>
          <w:rFonts w:hint="eastAsia" w:ascii="仿宋_GB2312" w:eastAsia="仿宋_GB2312"/>
          <w:sz w:val="32"/>
          <w:szCs w:val="32"/>
          <w:highlight w:val="none"/>
          <w:lang w:val="en-US" w:eastAsia="zh-CN"/>
        </w:rPr>
        <w:t>2024年，我局共有5项行政许可审批事项，分别是民办职业培训学校新设立审批、民办职业培训学校的变更审批、企业实行不定时工作制和综合计算工时工作制审批、劳务派遣经营许可、人力资源服务许可审批，</w:t>
      </w:r>
      <w:r>
        <w:rPr>
          <w:rFonts w:hint="eastAsia" w:ascii="仿宋_GB2312" w:eastAsia="仿宋_GB2312" w:cs="仿宋_GB2312"/>
          <w:sz w:val="32"/>
          <w:szCs w:val="32"/>
          <w:highlight w:val="none"/>
          <w:lang w:val="en-US" w:eastAsia="zh-CN"/>
        </w:rPr>
        <w:t>以上5项</w:t>
      </w:r>
      <w:r>
        <w:rPr>
          <w:rFonts w:hint="eastAsia" w:ascii="仿宋_GB2312" w:eastAsia="仿宋_GB2312"/>
          <w:sz w:val="32"/>
          <w:szCs w:val="32"/>
          <w:highlight w:val="none"/>
          <w:lang w:val="en-US" w:eastAsia="zh-CN"/>
        </w:rPr>
        <w:t>行政许可审批事项已全部进驻广东省政务服务事项管理系统（广东政务服务网）。</w:t>
      </w:r>
      <w:r>
        <w:rPr>
          <w:rFonts w:hint="eastAsia" w:ascii="仿宋_GB2312" w:eastAsia="仿宋_GB2312" w:cs="仿宋_GB2312"/>
          <w:sz w:val="32"/>
          <w:szCs w:val="32"/>
          <w:highlight w:val="none"/>
          <w:lang w:val="en-US" w:eastAsia="zh-CN"/>
        </w:rPr>
        <w:t>本年度</w:t>
      </w:r>
      <w:r>
        <w:rPr>
          <w:rFonts w:ascii="仿宋_GB2312" w:eastAsia="仿宋_GB2312"/>
          <w:sz w:val="32"/>
          <w:szCs w:val="32"/>
          <w:highlight w:val="none"/>
        </w:rPr>
        <w:t>行政许可申请</w:t>
      </w:r>
      <w:r>
        <w:rPr>
          <w:rFonts w:hint="eastAsia" w:ascii="仿宋_GB2312" w:eastAsia="仿宋_GB2312"/>
          <w:sz w:val="32"/>
          <w:szCs w:val="32"/>
          <w:highlight w:val="none"/>
          <w:lang w:val="en-US" w:eastAsia="zh-CN"/>
        </w:rPr>
        <w:t>数为431宗</w:t>
      </w:r>
      <w:r>
        <w:rPr>
          <w:rFonts w:ascii="仿宋_GB2312" w:eastAsia="仿宋_GB2312"/>
          <w:sz w:val="32"/>
          <w:szCs w:val="32"/>
          <w:highlight w:val="none"/>
        </w:rPr>
        <w:t>，</w:t>
      </w:r>
      <w:r>
        <w:rPr>
          <w:rFonts w:hint="eastAsia" w:ascii="仿宋_GB2312" w:eastAsia="仿宋_GB2312"/>
          <w:sz w:val="32"/>
          <w:szCs w:val="32"/>
          <w:highlight w:val="none"/>
          <w:lang w:val="en-US" w:eastAsia="zh-CN"/>
        </w:rPr>
        <w:t>受理431宗，</w:t>
      </w:r>
      <w:r>
        <w:rPr>
          <w:rFonts w:ascii="仿宋_GB2312" w:eastAsia="仿宋_GB2312"/>
          <w:sz w:val="32"/>
          <w:szCs w:val="32"/>
          <w:highlight w:val="none"/>
        </w:rPr>
        <w:t>不受理</w:t>
      </w:r>
      <w:r>
        <w:rPr>
          <w:rFonts w:hint="eastAsia" w:ascii="仿宋_GB2312" w:eastAsia="仿宋_GB2312"/>
          <w:sz w:val="32"/>
          <w:szCs w:val="32"/>
          <w:highlight w:val="none"/>
          <w:lang w:val="en-US" w:eastAsia="zh-CN"/>
        </w:rPr>
        <w:t>0宗，</w:t>
      </w:r>
      <w:r>
        <w:rPr>
          <w:rFonts w:ascii="仿宋_GB2312" w:eastAsia="仿宋_GB2312"/>
          <w:sz w:val="32"/>
          <w:szCs w:val="32"/>
          <w:highlight w:val="none"/>
        </w:rPr>
        <w:t>行政许可办结</w:t>
      </w:r>
      <w:r>
        <w:rPr>
          <w:rFonts w:hint="eastAsia" w:ascii="仿宋_GB2312" w:eastAsia="仿宋_GB2312"/>
          <w:sz w:val="32"/>
          <w:szCs w:val="32"/>
          <w:highlight w:val="none"/>
          <w:lang w:val="en-US" w:eastAsia="zh-CN"/>
        </w:rPr>
        <w:t>431宗</w:t>
      </w:r>
      <w:r>
        <w:rPr>
          <w:rFonts w:ascii="仿宋_GB2312" w:eastAsia="仿宋_GB2312"/>
          <w:sz w:val="32"/>
          <w:szCs w:val="32"/>
          <w:highlight w:val="none"/>
        </w:rPr>
        <w:t>，</w:t>
      </w:r>
      <w:r>
        <w:rPr>
          <w:rFonts w:hint="eastAsia" w:ascii="仿宋_GB2312" w:eastAsia="仿宋_GB2312"/>
          <w:sz w:val="32"/>
          <w:szCs w:val="32"/>
          <w:highlight w:val="none"/>
          <w:lang w:val="en-US" w:eastAsia="zh-CN"/>
        </w:rPr>
        <w:t>全部审批同意</w:t>
      </w:r>
      <w:r>
        <w:rPr>
          <w:rFonts w:ascii="仿宋_GB2312" w:eastAsia="仿宋_GB2312"/>
          <w:sz w:val="32"/>
          <w:szCs w:val="32"/>
          <w:highlight w:val="none"/>
        </w:rPr>
        <w:t>。</w:t>
      </w:r>
    </w:p>
    <w:p w14:paraId="63D5B08C">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eastAsia="仿宋_GB2312"/>
          <w:sz w:val="32"/>
          <w:szCs w:val="32"/>
          <w:highlight w:val="none"/>
          <w:lang w:eastAsia="zh-CN"/>
        </w:rPr>
      </w:pPr>
      <w:r>
        <w:rPr>
          <w:rFonts w:hint="eastAsia" w:ascii="楷体_GB2312" w:hAnsi="楷体" w:eastAsia="楷体_GB2312"/>
          <w:b/>
          <w:sz w:val="32"/>
          <w:szCs w:val="32"/>
          <w:highlight w:val="none"/>
        </w:rPr>
        <w:t>（一）依法实施情况。</w:t>
      </w:r>
      <w:r>
        <w:rPr>
          <w:rFonts w:hint="eastAsia" w:ascii="仿宋_GB2312" w:eastAsia="仿宋_GB2312"/>
          <w:sz w:val="32"/>
          <w:szCs w:val="32"/>
          <w:highlight w:val="none"/>
          <w:lang w:val="en-US" w:eastAsia="zh-CN"/>
        </w:rPr>
        <w:t>2024</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我</w:t>
      </w:r>
      <w:r>
        <w:rPr>
          <w:rFonts w:hint="eastAsia" w:ascii="仿宋_GB2312" w:eastAsia="仿宋_GB2312"/>
          <w:sz w:val="32"/>
          <w:szCs w:val="32"/>
          <w:highlight w:val="none"/>
          <w:lang w:val="en-US" w:eastAsia="zh-CN"/>
        </w:rPr>
        <w:t>局严格按照法律法规规章的要求办理行政许可业务，所有行政许可业务均在法定期限内办结，不存在超范围实施情况。严格执行一次性告知、容缺受理、告知承诺制等行政许可的配套制度，并不断优化内部审批流程，简化材料、压减审批时限，深化“不见面审批”改革。2024年，我局行政许可事项总法定办结时限240个工作日，承诺办结时限5个工作日，时限压缩率达97.9%，其中</w:t>
      </w:r>
      <w:r>
        <w:rPr>
          <w:rFonts w:hint="eastAsia" w:ascii="仿宋_GB2312" w:eastAsia="仿宋_GB2312"/>
          <w:sz w:val="32"/>
          <w:szCs w:val="32"/>
          <w:highlight w:val="none"/>
        </w:rPr>
        <w:t>劳务派遣经营许可法定办结期限是20个工作日</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承诺办结时间是1个工作日</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时限压缩率达95%；</w:t>
      </w:r>
      <w:r>
        <w:rPr>
          <w:rFonts w:hint="eastAsia" w:ascii="仿宋_GB2312" w:eastAsia="仿宋_GB2312"/>
          <w:sz w:val="32"/>
          <w:szCs w:val="32"/>
          <w:highlight w:val="none"/>
        </w:rPr>
        <w:t>企业实行不定时工作制和综合计算工时工作制审批法定办结期限是20个工作日，承诺办结时间是1个工作日，</w:t>
      </w:r>
      <w:r>
        <w:rPr>
          <w:rFonts w:hint="eastAsia" w:ascii="仿宋_GB2312" w:eastAsia="仿宋_GB2312"/>
          <w:sz w:val="32"/>
          <w:szCs w:val="32"/>
          <w:highlight w:val="none"/>
          <w:lang w:val="en-US" w:eastAsia="zh-CN"/>
        </w:rPr>
        <w:t>时限压缩率达95%</w:t>
      </w:r>
      <w:r>
        <w:rPr>
          <w:rFonts w:hint="eastAsia" w:ascii="仿宋_GB2312" w:eastAsia="仿宋_GB2312"/>
          <w:sz w:val="32"/>
          <w:szCs w:val="32"/>
          <w:highlight w:val="none"/>
        </w:rPr>
        <w:t>；人力资源服务许可审批法定办结期限为20</w:t>
      </w:r>
      <w:r>
        <w:rPr>
          <w:rFonts w:hint="eastAsia" w:ascii="仿宋_GB2312" w:eastAsia="仿宋_GB2312"/>
          <w:sz w:val="32"/>
          <w:szCs w:val="32"/>
          <w:highlight w:val="none"/>
          <w:lang w:val="en-US" w:eastAsia="zh-CN"/>
        </w:rPr>
        <w:t>个工作日</w:t>
      </w:r>
      <w:r>
        <w:rPr>
          <w:rFonts w:hint="eastAsia" w:ascii="仿宋_GB2312" w:eastAsia="仿宋_GB2312"/>
          <w:sz w:val="32"/>
          <w:szCs w:val="32"/>
          <w:highlight w:val="none"/>
        </w:rPr>
        <w:t>，承诺办结时间是1</w:t>
      </w:r>
      <w:r>
        <w:rPr>
          <w:rFonts w:hint="eastAsia" w:ascii="仿宋_GB2312" w:eastAsia="仿宋_GB2312"/>
          <w:sz w:val="32"/>
          <w:szCs w:val="32"/>
          <w:highlight w:val="none"/>
          <w:lang w:val="en-US" w:eastAsia="zh-CN"/>
        </w:rPr>
        <w:t>个工作日</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时限压缩率达95%</w:t>
      </w:r>
      <w:r>
        <w:rPr>
          <w:rFonts w:hint="eastAsia" w:ascii="仿宋_GB2312" w:eastAsia="仿宋_GB2312"/>
          <w:sz w:val="32"/>
          <w:szCs w:val="32"/>
          <w:highlight w:val="none"/>
        </w:rPr>
        <w:t>；民办职业培训学校新设立审批、民办职业培训学校的变更审批法定办结期限</w:t>
      </w:r>
      <w:r>
        <w:rPr>
          <w:rFonts w:hint="eastAsia" w:ascii="仿宋_GB2312" w:eastAsia="仿宋_GB2312"/>
          <w:sz w:val="32"/>
          <w:szCs w:val="32"/>
          <w:highlight w:val="none"/>
          <w:lang w:val="en-US" w:eastAsia="zh-CN"/>
        </w:rPr>
        <w:t>均</w:t>
      </w:r>
      <w:r>
        <w:rPr>
          <w:rFonts w:hint="eastAsia" w:ascii="仿宋_GB2312" w:eastAsia="仿宋_GB2312"/>
          <w:sz w:val="32"/>
          <w:szCs w:val="32"/>
          <w:highlight w:val="none"/>
        </w:rPr>
        <w:t>是90</w:t>
      </w:r>
      <w:r>
        <w:rPr>
          <w:rFonts w:hint="eastAsia" w:ascii="仿宋_GB2312" w:eastAsia="仿宋_GB2312"/>
          <w:sz w:val="32"/>
          <w:szCs w:val="32"/>
          <w:highlight w:val="none"/>
          <w:lang w:eastAsia="zh-CN"/>
        </w:rPr>
        <w:t>个</w:t>
      </w:r>
      <w:r>
        <w:rPr>
          <w:rFonts w:hint="eastAsia" w:ascii="仿宋_GB2312" w:eastAsia="仿宋_GB2312"/>
          <w:sz w:val="32"/>
          <w:szCs w:val="32"/>
          <w:highlight w:val="none"/>
          <w:lang w:val="en-US" w:eastAsia="zh-CN"/>
        </w:rPr>
        <w:t>工作日</w:t>
      </w:r>
      <w:r>
        <w:rPr>
          <w:rFonts w:hint="eastAsia" w:ascii="仿宋_GB2312" w:eastAsia="仿宋_GB2312"/>
          <w:sz w:val="32"/>
          <w:szCs w:val="32"/>
          <w:highlight w:val="none"/>
        </w:rPr>
        <w:t>，承诺办结时间</w:t>
      </w:r>
      <w:r>
        <w:rPr>
          <w:rFonts w:hint="eastAsia" w:ascii="仿宋_GB2312" w:eastAsia="仿宋_GB2312"/>
          <w:sz w:val="32"/>
          <w:szCs w:val="32"/>
          <w:highlight w:val="none"/>
          <w:lang w:val="en-US" w:eastAsia="zh-CN"/>
        </w:rPr>
        <w:t>均</w:t>
      </w:r>
      <w:r>
        <w:rPr>
          <w:rFonts w:hint="eastAsia" w:ascii="仿宋_GB2312" w:eastAsia="仿宋_GB2312"/>
          <w:sz w:val="32"/>
          <w:szCs w:val="32"/>
          <w:highlight w:val="none"/>
        </w:rPr>
        <w:t>是1</w:t>
      </w:r>
      <w:r>
        <w:rPr>
          <w:rFonts w:hint="eastAsia" w:ascii="仿宋_GB2312" w:eastAsia="仿宋_GB2312"/>
          <w:sz w:val="32"/>
          <w:szCs w:val="32"/>
          <w:highlight w:val="none"/>
          <w:lang w:eastAsia="zh-CN"/>
        </w:rPr>
        <w:t>个</w:t>
      </w:r>
      <w:r>
        <w:rPr>
          <w:rFonts w:hint="eastAsia" w:ascii="仿宋_GB2312" w:eastAsia="仿宋_GB2312"/>
          <w:sz w:val="32"/>
          <w:szCs w:val="32"/>
          <w:highlight w:val="none"/>
          <w:lang w:val="en-US" w:eastAsia="zh-CN"/>
        </w:rPr>
        <w:t>工作日</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时限压缩率均达98.9%</w:t>
      </w:r>
    </w:p>
    <w:p w14:paraId="2C70A577">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ascii="楷体_GB2312" w:hAnsi="楷体" w:eastAsia="楷体_GB2312"/>
          <w:b/>
          <w:sz w:val="32"/>
          <w:szCs w:val="32"/>
          <w:highlight w:val="yellow"/>
        </w:rPr>
      </w:pPr>
      <w:r>
        <w:rPr>
          <w:rFonts w:ascii="楷体_GB2312" w:hAnsi="楷体" w:eastAsia="楷体_GB2312"/>
          <w:b/>
          <w:sz w:val="32"/>
          <w:szCs w:val="32"/>
        </w:rPr>
        <w:t>（二）公开公示情况。</w:t>
      </w:r>
      <w:r>
        <w:rPr>
          <w:rFonts w:hint="eastAsia" w:ascii="仿宋_GB2312" w:hAnsi="仿宋" w:eastAsia="仿宋_GB2312" w:cs="仿宋_GB2312"/>
          <w:sz w:val="32"/>
          <w:szCs w:val="32"/>
          <w:lang w:val="en-US" w:eastAsia="zh-CN"/>
        </w:rPr>
        <w:t>2024年度，我局将5项行政审批事项的申请条件、申请材料以及范本、投诉方式均在广东政务服务网进行公开，所有文本格式完备，零收费，可供自由下载。</w:t>
      </w:r>
      <w:r>
        <w:rPr>
          <w:rFonts w:hint="eastAsia" w:ascii="仿宋_GB2312" w:hAnsi="仿宋" w:eastAsia="仿宋_GB2312" w:cs="仿宋_GB2312"/>
          <w:sz w:val="32"/>
          <w:szCs w:val="32"/>
          <w:highlight w:val="none"/>
        </w:rPr>
        <w:t>依据《广州市信用办关于印发广州市行政许可和行政处罚等信用信息公示工作方案的通知》和《广州市信用办转发关于进一步规范行政许可和行政处罚等信用信息公示工作的通知》等文件</w:t>
      </w:r>
      <w:r>
        <w:rPr>
          <w:rFonts w:hint="eastAsia" w:ascii="仿宋_GB2312" w:hAnsi="仿宋" w:eastAsia="仿宋_GB2312" w:cs="仿宋_GB2312"/>
          <w:sz w:val="32"/>
          <w:szCs w:val="32"/>
          <w:highlight w:val="none"/>
          <w:lang w:eastAsia="zh-CN"/>
        </w:rPr>
        <w:t>精神，</w:t>
      </w:r>
      <w:r>
        <w:rPr>
          <w:rFonts w:ascii="仿宋_GB2312" w:hAnsi="仿宋" w:eastAsia="仿宋_GB2312" w:cs="仿宋_GB2312"/>
          <w:sz w:val="32"/>
          <w:szCs w:val="32"/>
          <w:highlight w:val="none"/>
        </w:rPr>
        <w:t>20</w:t>
      </w:r>
      <w:r>
        <w:rPr>
          <w:rFonts w:hint="eastAsia" w:ascii="仿宋_GB2312" w:hAnsi="仿宋" w:eastAsia="仿宋_GB2312" w:cs="仿宋_GB2312"/>
          <w:sz w:val="32"/>
          <w:szCs w:val="32"/>
          <w:highlight w:val="none"/>
          <w:lang w:val="en-US" w:eastAsia="zh-CN"/>
        </w:rPr>
        <w:t>24年度，</w:t>
      </w:r>
      <w:r>
        <w:rPr>
          <w:rFonts w:hint="eastAsia" w:ascii="仿宋_GB2312" w:hAnsi="仿宋" w:eastAsia="仿宋_GB2312" w:cs="仿宋_GB2312"/>
          <w:sz w:val="32"/>
          <w:szCs w:val="32"/>
          <w:highlight w:val="none"/>
        </w:rPr>
        <w:t>我局</w:t>
      </w:r>
      <w:r>
        <w:rPr>
          <w:rFonts w:hint="eastAsia" w:ascii="仿宋_GB2312" w:eastAsia="仿宋_GB2312"/>
          <w:sz w:val="32"/>
          <w:szCs w:val="32"/>
          <w:highlight w:val="none"/>
          <w:lang w:val="en-US" w:eastAsia="zh-CN"/>
        </w:rPr>
        <w:t>431</w:t>
      </w:r>
      <w:r>
        <w:rPr>
          <w:rFonts w:hint="eastAsia" w:ascii="仿宋_GB2312" w:hAnsi="仿宋" w:eastAsia="仿宋_GB2312" w:cs="仿宋_GB2312"/>
          <w:sz w:val="32"/>
          <w:szCs w:val="32"/>
          <w:highlight w:val="none"/>
        </w:rPr>
        <w:t>宗行政许可均</w:t>
      </w:r>
      <w:r>
        <w:rPr>
          <w:rFonts w:hint="eastAsia" w:ascii="仿宋_GB2312" w:hAnsi="仿宋" w:eastAsia="仿宋_GB2312" w:cs="仿宋_GB2312"/>
          <w:sz w:val="32"/>
          <w:szCs w:val="32"/>
          <w:highlight w:val="none"/>
          <w:lang w:val="en-US" w:eastAsia="zh-CN"/>
        </w:rPr>
        <w:t>坚持</w:t>
      </w:r>
      <w:r>
        <w:rPr>
          <w:rFonts w:ascii="仿宋_GB2312" w:hAnsi="仿宋" w:eastAsia="仿宋_GB2312" w:cs="仿宋_GB2312"/>
          <w:sz w:val="32"/>
          <w:szCs w:val="32"/>
          <w:highlight w:val="none"/>
        </w:rPr>
        <w:t>7</w:t>
      </w:r>
      <w:r>
        <w:rPr>
          <w:rFonts w:hint="eastAsia" w:ascii="仿宋_GB2312" w:hAnsi="仿宋" w:eastAsia="仿宋_GB2312" w:cs="仿宋_GB2312"/>
          <w:sz w:val="32"/>
          <w:szCs w:val="32"/>
          <w:highlight w:val="none"/>
        </w:rPr>
        <w:t>个工作日内在信用广州网上公示，</w:t>
      </w:r>
      <w:r>
        <w:rPr>
          <w:rFonts w:hint="eastAsia" w:ascii="仿宋_GB2312" w:hAnsi="仿宋" w:eastAsia="仿宋_GB2312" w:cs="仿宋_GB2312"/>
          <w:sz w:val="32"/>
          <w:szCs w:val="32"/>
          <w:highlight w:val="none"/>
          <w:lang w:val="en-US" w:eastAsia="zh-CN"/>
        </w:rPr>
        <w:t>并</w:t>
      </w:r>
      <w:r>
        <w:rPr>
          <w:rFonts w:hint="eastAsia" w:ascii="仿宋_GB2312" w:hAnsi="仿宋" w:eastAsia="仿宋_GB2312" w:cs="仿宋_GB2312"/>
          <w:sz w:val="32"/>
          <w:szCs w:val="32"/>
          <w:highlight w:val="none"/>
        </w:rPr>
        <w:t>在区政府官网人社局信息公开专栏</w:t>
      </w:r>
      <w:r>
        <w:rPr>
          <w:rFonts w:hint="eastAsia" w:ascii="仿宋_GB2312" w:hAnsi="仿宋" w:eastAsia="仿宋_GB2312" w:cs="仿宋_GB2312"/>
          <w:sz w:val="32"/>
          <w:szCs w:val="32"/>
          <w:highlight w:val="none"/>
          <w:lang w:val="en-US" w:eastAsia="zh-CN"/>
        </w:rPr>
        <w:t>实行</w:t>
      </w:r>
      <w:r>
        <w:rPr>
          <w:rFonts w:hint="eastAsia" w:ascii="仿宋_GB2312" w:hAnsi="仿宋" w:eastAsia="仿宋_GB2312" w:cs="仿宋_GB2312"/>
          <w:sz w:val="32"/>
          <w:szCs w:val="32"/>
          <w:highlight w:val="none"/>
        </w:rPr>
        <w:t>同步公示</w:t>
      </w: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lang w:val="en-US" w:eastAsia="zh-CN"/>
        </w:rPr>
        <w:t>公示内容包括被许可主体、其法定代表人、被许可事项、许可决定期以及有效期等。</w:t>
      </w:r>
    </w:p>
    <w:p w14:paraId="75DE8E8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hAnsi="楷体" w:eastAsia="楷体_GB2312"/>
          <w:b/>
          <w:sz w:val="32"/>
          <w:szCs w:val="32"/>
          <w:highlight w:val="none"/>
        </w:rPr>
      </w:pPr>
      <w:r>
        <w:rPr>
          <w:rFonts w:ascii="楷体_GB2312" w:hAnsi="楷体" w:eastAsia="楷体_GB2312"/>
          <w:b/>
          <w:sz w:val="32"/>
          <w:szCs w:val="32"/>
          <w:highlight w:val="none"/>
        </w:rPr>
        <w:t>（三）</w:t>
      </w:r>
      <w:r>
        <w:rPr>
          <w:rFonts w:hint="eastAsia" w:ascii="楷体_GB2312" w:hAnsi="楷体" w:eastAsia="楷体_GB2312"/>
          <w:b/>
          <w:sz w:val="32"/>
          <w:szCs w:val="32"/>
          <w:highlight w:val="none"/>
          <w:lang w:val="en-US" w:eastAsia="zh-CN"/>
        </w:rPr>
        <w:t>监督管理</w:t>
      </w:r>
      <w:r>
        <w:rPr>
          <w:rFonts w:ascii="楷体_GB2312" w:hAnsi="楷体" w:eastAsia="楷体_GB2312"/>
          <w:b/>
          <w:sz w:val="32"/>
          <w:szCs w:val="32"/>
          <w:highlight w:val="none"/>
        </w:rPr>
        <w:t>情况。</w:t>
      </w: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sz w:val="32"/>
          <w:szCs w:val="32"/>
          <w:highlight w:val="none"/>
          <w:lang w:val="en-US" w:eastAsia="zh-CN"/>
        </w:rPr>
        <w:t>抓好三类机构日常监管工作，针对行业市场存在的突出问题，先后开展“招转培”问题专项整治行动、规范劳务派遣用工专项行动、企业安全生产日常检查等，累计开展检查80余家次，严厉打击本辖区内“招转培”等用工招聘领域违法行为，通过召开警示教育会议等方式对全区人力资源服务企业、劳务派遣企业和职业技能培训机构进行合规引导，进一步整顿、规范行业秩序。</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sz w:val="32"/>
          <w:szCs w:val="32"/>
          <w:highlight w:val="none"/>
          <w:lang w:val="en-US" w:eastAsia="zh-CN"/>
        </w:rPr>
        <w:t>开展办学水平评估工作，对全区19家民办职业培训机构进行2024年度办学水平评估，并将评估结果向社会公示，其中13家机构及格、5家机构不及格、1家机构整改。</w:t>
      </w: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sz w:val="32"/>
          <w:szCs w:val="32"/>
          <w:highlight w:val="none"/>
          <w:lang w:eastAsia="zh-CN"/>
        </w:rPr>
        <w:t>本</w:t>
      </w:r>
      <w:r>
        <w:rPr>
          <w:rFonts w:hint="eastAsia" w:ascii="仿宋_GB2312" w:hAnsi="仿宋_GB2312" w:eastAsia="仿宋_GB2312" w:cs="仿宋_GB2312"/>
          <w:sz w:val="32"/>
          <w:szCs w:val="32"/>
          <w:highlight w:val="none"/>
          <w:lang w:val="en-US" w:eastAsia="zh-CN"/>
        </w:rPr>
        <w:t>单位</w:t>
      </w:r>
      <w:r>
        <w:rPr>
          <w:rFonts w:hint="eastAsia" w:ascii="仿宋_GB2312" w:hAnsi="仿宋_GB2312" w:eastAsia="仿宋_GB2312" w:cs="仿宋_GB2312"/>
          <w:sz w:val="32"/>
          <w:szCs w:val="32"/>
          <w:highlight w:val="none"/>
        </w:rPr>
        <w:t>内部对行政审批实施行为</w:t>
      </w:r>
      <w:r>
        <w:rPr>
          <w:rFonts w:hint="eastAsia" w:ascii="仿宋_GB2312" w:hAnsi="仿宋_GB2312" w:eastAsia="仿宋_GB2312" w:cs="仿宋_GB2312"/>
          <w:sz w:val="32"/>
          <w:szCs w:val="32"/>
          <w:highlight w:val="none"/>
          <w:lang w:eastAsia="zh-CN"/>
        </w:rPr>
        <w:t>接受本</w:t>
      </w:r>
      <w:r>
        <w:rPr>
          <w:rFonts w:hint="eastAsia" w:ascii="仿宋_GB2312" w:hAnsi="仿宋_GB2312" w:eastAsia="仿宋_GB2312" w:cs="仿宋_GB2312"/>
          <w:sz w:val="32"/>
          <w:szCs w:val="32"/>
          <w:highlight w:val="none"/>
          <w:lang w:val="en-US" w:eastAsia="zh-CN"/>
        </w:rPr>
        <w:t>单位</w:t>
      </w:r>
      <w:r>
        <w:rPr>
          <w:rFonts w:hint="eastAsia" w:ascii="仿宋_GB2312" w:hAnsi="仿宋_GB2312" w:eastAsia="仿宋_GB2312" w:cs="仿宋_GB2312"/>
          <w:sz w:val="32"/>
          <w:szCs w:val="32"/>
          <w:highlight w:val="none"/>
          <w:lang w:eastAsia="zh-CN"/>
        </w:rPr>
        <w:t>各级领导及区纪委监委派驻组</w:t>
      </w:r>
      <w:r>
        <w:rPr>
          <w:rFonts w:hint="eastAsia" w:ascii="仿宋_GB2312" w:hAnsi="仿宋_GB2312" w:eastAsia="仿宋_GB2312" w:cs="仿宋_GB2312"/>
          <w:sz w:val="32"/>
          <w:szCs w:val="32"/>
          <w:highlight w:val="none"/>
        </w:rPr>
        <w:t>的监督</w:t>
      </w:r>
      <w:r>
        <w:rPr>
          <w:rFonts w:hint="eastAsia" w:ascii="仿宋_GB2312" w:hAnsi="仿宋_GB2312" w:eastAsia="仿宋_GB2312" w:cs="仿宋_GB2312"/>
          <w:sz w:val="32"/>
          <w:szCs w:val="32"/>
          <w:highlight w:val="none"/>
          <w:lang w:eastAsia="zh-CN"/>
        </w:rPr>
        <w:t>，在</w:t>
      </w:r>
      <w:r>
        <w:rPr>
          <w:rFonts w:hint="eastAsia" w:ascii="仿宋_GB2312" w:hAnsi="仿宋_GB2312" w:eastAsia="仿宋_GB2312" w:cs="仿宋_GB2312"/>
          <w:sz w:val="32"/>
          <w:szCs w:val="32"/>
          <w:highlight w:val="none"/>
          <w:lang w:val="en-US" w:eastAsia="zh-CN"/>
        </w:rPr>
        <w:t>许可</w:t>
      </w:r>
      <w:r>
        <w:rPr>
          <w:rFonts w:hint="eastAsia" w:ascii="仿宋_GB2312" w:hAnsi="仿宋_GB2312" w:eastAsia="仿宋_GB2312" w:cs="仿宋_GB2312"/>
          <w:sz w:val="32"/>
          <w:szCs w:val="32"/>
          <w:highlight w:val="none"/>
        </w:rPr>
        <w:t>事项办理过程</w:t>
      </w:r>
      <w:r>
        <w:rPr>
          <w:rFonts w:hint="eastAsia" w:ascii="仿宋_GB2312" w:hAnsi="仿宋_GB2312" w:eastAsia="仿宋_GB2312" w:cs="仿宋_GB2312"/>
          <w:sz w:val="32"/>
          <w:szCs w:val="32"/>
          <w:highlight w:val="none"/>
          <w:lang w:val="en-US" w:eastAsia="zh-CN"/>
        </w:rPr>
        <w:t>中</w:t>
      </w:r>
      <w:r>
        <w:rPr>
          <w:rFonts w:hint="eastAsia" w:ascii="仿宋_GB2312" w:hAnsi="仿宋_GB2312" w:eastAsia="仿宋_GB2312" w:cs="仿宋_GB2312"/>
          <w:sz w:val="32"/>
          <w:szCs w:val="32"/>
          <w:highlight w:val="none"/>
          <w:lang w:eastAsia="zh-CN"/>
        </w:rPr>
        <w:t>没有</w:t>
      </w:r>
      <w:r>
        <w:rPr>
          <w:rFonts w:hint="eastAsia" w:ascii="仿宋_GB2312" w:hAnsi="仿宋_GB2312" w:eastAsia="仿宋_GB2312" w:cs="仿宋_GB2312"/>
          <w:sz w:val="32"/>
          <w:szCs w:val="32"/>
          <w:highlight w:val="none"/>
        </w:rPr>
        <w:t>被投诉举报</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情况</w:t>
      </w:r>
      <w:r>
        <w:rPr>
          <w:rFonts w:hint="eastAsia" w:ascii="仿宋_GB2312" w:hAnsi="仿宋_GB2312" w:eastAsia="仿宋_GB2312" w:cs="仿宋_GB2312"/>
          <w:sz w:val="32"/>
          <w:szCs w:val="32"/>
          <w:highlight w:val="none"/>
          <w:lang w:eastAsia="zh-CN"/>
        </w:rPr>
        <w:t>发生</w:t>
      </w:r>
      <w:r>
        <w:rPr>
          <w:rFonts w:hint="eastAsia" w:ascii="仿宋_GB2312" w:hAnsi="仿宋_GB2312" w:eastAsia="仿宋_GB2312" w:cs="仿宋_GB2312"/>
          <w:sz w:val="32"/>
          <w:szCs w:val="32"/>
          <w:highlight w:val="none"/>
        </w:rPr>
        <w:t>。</w:t>
      </w:r>
    </w:p>
    <w:p w14:paraId="134C5056">
      <w:pPr>
        <w:spacing w:line="540" w:lineRule="exact"/>
        <w:ind w:firstLine="643" w:firstLineChars="200"/>
        <w:rPr>
          <w:rFonts w:ascii="仿宋_GB2312" w:eastAsia="仿宋_GB2312"/>
          <w:sz w:val="32"/>
          <w:szCs w:val="32"/>
          <w:highlight w:val="none"/>
        </w:rPr>
      </w:pPr>
      <w:r>
        <w:rPr>
          <w:rFonts w:ascii="楷体_GB2312" w:hAnsi="楷体" w:eastAsia="楷体_GB2312"/>
          <w:b/>
          <w:sz w:val="32"/>
          <w:szCs w:val="32"/>
          <w:highlight w:val="none"/>
        </w:rPr>
        <w:t>（四）实施效果情况。</w:t>
      </w:r>
      <w:r>
        <w:rPr>
          <w:rFonts w:hint="eastAsia" w:ascii="仿宋_GB2312" w:eastAsia="仿宋_GB2312"/>
          <w:sz w:val="32"/>
          <w:szCs w:val="32"/>
          <w:highlight w:val="none"/>
          <w:lang w:val="en-US" w:eastAsia="zh-CN"/>
        </w:rPr>
        <w:t>2024年我局办理的行政许可审批件均按时高效办结，行政相对人的认可度和满意度较高，无收到相关投诉，在一定程度上激发了市场活力；同时，我们加强了事中事后的监管，进一步整顿、规范行业秩序，推动人力资源服务业、民办职业技能培训等行业健康快速发展，有力地维护了企业和劳动者的合法权益。</w:t>
      </w:r>
    </w:p>
    <w:p w14:paraId="3597B693">
      <w:pPr>
        <w:spacing w:line="540" w:lineRule="exact"/>
        <w:ind w:firstLine="643" w:firstLineChars="200"/>
        <w:rPr>
          <w:rFonts w:hint="default" w:ascii="楷体_GB2312" w:hAnsi="楷体" w:eastAsia="楷体_GB2312"/>
          <w:b w:val="0"/>
          <w:bCs w:val="0"/>
          <w:sz w:val="32"/>
          <w:szCs w:val="32"/>
          <w:highlight w:val="none"/>
          <w:lang w:val="en-US" w:eastAsia="zh-CN"/>
        </w:rPr>
      </w:pPr>
      <w:r>
        <w:rPr>
          <w:rFonts w:ascii="楷体_GB2312" w:hAnsi="楷体" w:eastAsia="楷体_GB2312"/>
          <w:b/>
          <w:sz w:val="32"/>
          <w:szCs w:val="32"/>
          <w:highlight w:val="none"/>
        </w:rPr>
        <w:t>（五）创新方式情况。</w:t>
      </w:r>
      <w:r>
        <w:rPr>
          <w:rFonts w:hint="eastAsia" w:ascii="仿宋_GB2312" w:hAnsi="仿宋" w:eastAsia="仿宋_GB2312" w:cs="仿宋_GB2312"/>
          <w:b/>
          <w:bCs/>
          <w:sz w:val="32"/>
          <w:szCs w:val="32"/>
          <w:highlight w:val="none"/>
          <w:lang w:val="en-US" w:eastAsia="zh-CN"/>
        </w:rPr>
        <w:t>一是</w:t>
      </w:r>
      <w:r>
        <w:rPr>
          <w:rFonts w:hint="eastAsia" w:ascii="仿宋_GB2312" w:hAnsi="仿宋" w:eastAsia="仿宋_GB2312" w:cs="仿宋_GB2312"/>
          <w:b w:val="0"/>
          <w:bCs w:val="0"/>
          <w:sz w:val="32"/>
          <w:szCs w:val="32"/>
          <w:highlight w:val="none"/>
          <w:lang w:val="en-US" w:eastAsia="zh-CN"/>
        </w:rPr>
        <w:t>严格实行受理与审核分离的办理模式，扩大行政许可的受理范围，减少行政许可审批过程中的自由裁量权。只要是材料齐全，符合受理条件的，一律接受申请人的申请，再由负责审核的人员对申请材料具体内容进行把关。</w:t>
      </w:r>
      <w:r>
        <w:rPr>
          <w:rFonts w:hint="eastAsia" w:ascii="仿宋_GB2312" w:hAnsi="仿宋" w:eastAsia="仿宋_GB2312" w:cs="仿宋_GB2312"/>
          <w:b/>
          <w:bCs/>
          <w:sz w:val="32"/>
          <w:szCs w:val="32"/>
          <w:highlight w:val="none"/>
          <w:lang w:val="en-US" w:eastAsia="zh-CN"/>
        </w:rPr>
        <w:t>二是</w:t>
      </w:r>
      <w:r>
        <w:rPr>
          <w:rFonts w:hint="eastAsia" w:ascii="仿宋_GB2312" w:hAnsi="仿宋" w:eastAsia="仿宋_GB2312" w:cs="仿宋_GB2312"/>
          <w:b w:val="0"/>
          <w:bCs w:val="0"/>
          <w:sz w:val="32"/>
          <w:szCs w:val="32"/>
          <w:highlight w:val="none"/>
          <w:lang w:val="en-US" w:eastAsia="zh-CN"/>
        </w:rPr>
        <w:t>响应国家优化营商环境的要求，降低准入门槛。将申请材料的实质性审核集中于书面审理，只要申请人所提交的材料具备审核标准的各项要素，我局即作出批准决定，极大提高了审核的效率，减轻了申请人的负担。</w:t>
      </w:r>
      <w:r>
        <w:rPr>
          <w:rFonts w:hint="eastAsia" w:ascii="仿宋_GB2312" w:hAnsi="仿宋" w:eastAsia="仿宋_GB2312" w:cs="仿宋_GB2312"/>
          <w:b/>
          <w:bCs/>
          <w:sz w:val="32"/>
          <w:szCs w:val="32"/>
          <w:highlight w:val="none"/>
          <w:lang w:val="en-US" w:eastAsia="zh-CN"/>
        </w:rPr>
        <w:t>三是</w:t>
      </w:r>
      <w:r>
        <w:rPr>
          <w:rFonts w:hint="eastAsia" w:ascii="仿宋_GB2312" w:hAnsi="仿宋" w:eastAsia="仿宋_GB2312" w:cs="仿宋_GB2312"/>
          <w:b w:val="0"/>
          <w:bCs w:val="0"/>
          <w:sz w:val="32"/>
          <w:szCs w:val="32"/>
          <w:highlight w:val="none"/>
          <w:lang w:val="en-US" w:eastAsia="zh-CN"/>
        </w:rPr>
        <w:t>坚持行政许可的全流程网办。行政许可的申请和审批的全流程均可在网上进行操作。</w:t>
      </w:r>
    </w:p>
    <w:p w14:paraId="009EE496">
      <w:pPr>
        <w:keepNext w:val="0"/>
        <w:keepLines w:val="0"/>
        <w:pageBreakBefore w:val="0"/>
        <w:numPr>
          <w:ilvl w:val="0"/>
          <w:numId w:val="0"/>
        </w:numPr>
        <w:kinsoku/>
        <w:wordWrap/>
        <w:overflowPunct/>
        <w:topLinePunct w:val="0"/>
        <w:autoSpaceDE/>
        <w:autoSpaceDN/>
        <w:bidi w:val="0"/>
        <w:adjustRightInd/>
        <w:snapToGrid/>
        <w:spacing w:line="576" w:lineRule="exact"/>
        <w:ind w:firstLine="643" w:firstLineChars="200"/>
        <w:textAlignment w:val="auto"/>
        <w:rPr>
          <w:rFonts w:ascii="楷体_GB2312" w:hAnsi="楷体" w:eastAsia="楷体_GB2312"/>
          <w:b/>
          <w:sz w:val="32"/>
          <w:szCs w:val="32"/>
          <w:highlight w:val="none"/>
        </w:rPr>
      </w:pPr>
      <w:r>
        <w:rPr>
          <w:rFonts w:ascii="楷体_GB2312" w:hAnsi="楷体" w:eastAsia="楷体_GB2312"/>
          <w:b/>
          <w:sz w:val="32"/>
          <w:szCs w:val="32"/>
          <w:highlight w:val="none"/>
        </w:rPr>
        <w:t>（</w:t>
      </w:r>
      <w:r>
        <w:rPr>
          <w:rFonts w:hint="eastAsia" w:ascii="楷体_GB2312" w:hAnsi="楷体" w:eastAsia="楷体_GB2312"/>
          <w:b/>
          <w:sz w:val="32"/>
          <w:szCs w:val="32"/>
          <w:highlight w:val="none"/>
          <w:lang w:val="en-US" w:eastAsia="zh-CN"/>
        </w:rPr>
        <w:t>六</w:t>
      </w:r>
      <w:r>
        <w:rPr>
          <w:rFonts w:ascii="楷体_GB2312" w:hAnsi="楷体" w:eastAsia="楷体_GB2312"/>
          <w:b/>
          <w:sz w:val="32"/>
          <w:szCs w:val="32"/>
          <w:highlight w:val="none"/>
        </w:rPr>
        <w:t>）推行标准化情况。</w:t>
      </w:r>
      <w:r>
        <w:rPr>
          <w:rFonts w:hint="eastAsia" w:ascii="仿宋_GB2312" w:hAnsi="仿宋" w:eastAsia="仿宋_GB2312" w:cs="仿宋_GB2312"/>
          <w:b w:val="0"/>
          <w:bCs/>
          <w:sz w:val="32"/>
          <w:szCs w:val="32"/>
          <w:highlight w:val="none"/>
        </w:rPr>
        <w:t>我局</w:t>
      </w:r>
      <w:r>
        <w:rPr>
          <w:rFonts w:hint="eastAsia" w:ascii="仿宋_GB2312" w:hAnsi="仿宋" w:eastAsia="仿宋_GB2312" w:cs="仿宋_GB2312"/>
          <w:b w:val="0"/>
          <w:bCs/>
          <w:sz w:val="32"/>
          <w:szCs w:val="32"/>
          <w:highlight w:val="none"/>
          <w:lang w:val="en-US" w:eastAsia="zh-CN"/>
        </w:rPr>
        <w:t>的行政许可审</w:t>
      </w:r>
      <w:r>
        <w:rPr>
          <w:rFonts w:hint="eastAsia" w:ascii="仿宋_GB2312" w:hAnsi="仿宋" w:eastAsia="仿宋_GB2312" w:cs="仿宋_GB2312"/>
          <w:sz w:val="32"/>
          <w:szCs w:val="32"/>
          <w:highlight w:val="none"/>
          <w:lang w:val="en-US" w:eastAsia="zh-CN"/>
        </w:rPr>
        <w:t>批工作</w:t>
      </w:r>
      <w:r>
        <w:rPr>
          <w:rFonts w:hint="eastAsia" w:ascii="仿宋_GB2312" w:hAnsi="仿宋" w:eastAsia="仿宋_GB2312" w:cs="仿宋_GB2312"/>
          <w:sz w:val="32"/>
          <w:szCs w:val="32"/>
          <w:highlight w:val="none"/>
        </w:rPr>
        <w:t>严格</w:t>
      </w:r>
      <w:r>
        <w:rPr>
          <w:rFonts w:hint="eastAsia" w:ascii="仿宋_GB2312" w:hAnsi="仿宋" w:eastAsia="仿宋_GB2312" w:cs="仿宋_GB2312"/>
          <w:sz w:val="32"/>
          <w:szCs w:val="32"/>
          <w:highlight w:val="none"/>
          <w:lang w:val="en-US" w:eastAsia="zh-CN"/>
        </w:rPr>
        <w:t>按照</w:t>
      </w:r>
      <w:r>
        <w:rPr>
          <w:rFonts w:hint="eastAsia" w:ascii="仿宋_GB2312" w:hAnsi="仿宋" w:eastAsia="仿宋_GB2312" w:cs="仿宋_GB2312"/>
          <w:sz w:val="32"/>
          <w:szCs w:val="32"/>
          <w:highlight w:val="none"/>
        </w:rPr>
        <w:t>《</w:t>
      </w:r>
      <w:r>
        <w:rPr>
          <w:rFonts w:hint="eastAsia" w:ascii="仿宋_GB2312" w:hAnsi="仿宋" w:eastAsia="仿宋_GB2312" w:cs="仿宋_GB2312"/>
          <w:sz w:val="32"/>
          <w:szCs w:val="32"/>
          <w:highlight w:val="none"/>
          <w:lang w:val="en-US" w:eastAsia="zh-CN"/>
        </w:rPr>
        <w:t>广州市劳务派遣行政许可工作</w:t>
      </w:r>
      <w:r>
        <w:rPr>
          <w:rFonts w:hint="eastAsia" w:ascii="仿宋_GB2312" w:hAnsi="仿宋" w:eastAsia="仿宋_GB2312" w:cs="仿宋_GB2312"/>
          <w:sz w:val="32"/>
          <w:szCs w:val="32"/>
          <w:highlight w:val="none"/>
        </w:rPr>
        <w:t>手册》</w:t>
      </w: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lang w:val="en-US" w:eastAsia="zh-CN"/>
        </w:rPr>
        <w:t>广州市人力资源和社会保障局转发关于做好人力资源服务行政许可及备案工作有关文件的通知</w:t>
      </w: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rPr>
        <w:t>《中华人民共和国民办教育促进法》</w:t>
      </w:r>
      <w:r>
        <w:rPr>
          <w:rFonts w:hint="eastAsia" w:ascii="仿宋_GB2312" w:hAnsi="仿宋" w:eastAsia="仿宋_GB2312" w:cs="仿宋_GB2312"/>
          <w:sz w:val="32"/>
          <w:szCs w:val="32"/>
          <w:highlight w:val="none"/>
          <w:lang w:val="en-US" w:eastAsia="zh-CN"/>
        </w:rPr>
        <w:t>等法律法规及相关文件进行落实。</w:t>
      </w:r>
      <w:r>
        <w:rPr>
          <w:rFonts w:hint="eastAsia" w:ascii="仿宋_GB2312" w:hAnsi="仿宋" w:eastAsia="仿宋_GB2312" w:cs="仿宋_GB2312"/>
          <w:b/>
          <w:bCs/>
          <w:sz w:val="32"/>
          <w:szCs w:val="32"/>
          <w:highlight w:val="none"/>
          <w:lang w:val="en-US" w:eastAsia="zh-CN"/>
        </w:rPr>
        <w:t>一是</w:t>
      </w:r>
      <w:r>
        <w:rPr>
          <w:rFonts w:hint="eastAsia" w:ascii="仿宋_GB2312" w:hAnsi="仿宋" w:eastAsia="仿宋_GB2312" w:cs="仿宋_GB2312"/>
          <w:b w:val="0"/>
          <w:bCs w:val="0"/>
          <w:sz w:val="32"/>
          <w:szCs w:val="32"/>
          <w:highlight w:val="none"/>
          <w:lang w:val="en-US" w:eastAsia="zh-CN"/>
        </w:rPr>
        <w:t>严格按照上述文件的要求，理清5项审批事项的申请条件、申请材料、办理期限、受理范围。</w:t>
      </w:r>
      <w:r>
        <w:rPr>
          <w:rFonts w:hint="eastAsia" w:ascii="仿宋_GB2312" w:hAnsi="仿宋" w:eastAsia="仿宋_GB2312" w:cs="仿宋_GB2312"/>
          <w:b/>
          <w:bCs/>
          <w:sz w:val="32"/>
          <w:szCs w:val="32"/>
          <w:highlight w:val="none"/>
          <w:lang w:val="en-US" w:eastAsia="zh-CN"/>
        </w:rPr>
        <w:t>二是</w:t>
      </w:r>
      <w:r>
        <w:rPr>
          <w:rFonts w:hint="eastAsia" w:ascii="仿宋_GB2312" w:hAnsi="仿宋" w:eastAsia="仿宋_GB2312" w:cs="仿宋_GB2312"/>
          <w:b w:val="0"/>
          <w:bCs w:val="0"/>
          <w:sz w:val="32"/>
          <w:szCs w:val="32"/>
          <w:highlight w:val="none"/>
          <w:lang w:val="en-US" w:eastAsia="zh-CN"/>
        </w:rPr>
        <w:t>及时更新广东政务服务网的办事指南，核对5项许可事项在广东政务服务网的名称，精确引用各个审批事项的实施依据，列出各个许可事项所需提交的申请材料。</w:t>
      </w:r>
      <w:r>
        <w:rPr>
          <w:rFonts w:hint="eastAsia" w:ascii="仿宋_GB2312" w:hAnsi="仿宋" w:eastAsia="仿宋_GB2312" w:cs="仿宋_GB2312"/>
          <w:b/>
          <w:bCs/>
          <w:sz w:val="32"/>
          <w:szCs w:val="32"/>
          <w:highlight w:val="none"/>
          <w:lang w:val="en-US" w:eastAsia="zh-CN"/>
        </w:rPr>
        <w:t>三是</w:t>
      </w:r>
      <w:r>
        <w:rPr>
          <w:rFonts w:hint="eastAsia" w:ascii="仿宋_GB2312" w:hAnsi="仿宋" w:eastAsia="仿宋_GB2312" w:cs="仿宋_GB2312"/>
          <w:b w:val="0"/>
          <w:bCs w:val="0"/>
          <w:sz w:val="32"/>
          <w:szCs w:val="32"/>
          <w:highlight w:val="none"/>
          <w:lang w:val="en-US" w:eastAsia="zh-CN"/>
        </w:rPr>
        <w:t>逐步标准化各个许可事项的申请材料，更新劳务派遣经营许可申请表，引导申请人统一利用新表格进行劳务派遣经营许可申请，明确劳务派遣经营许可的场地使用证明的几种形式，要求申请人在申请劳务派遣经营许可的设立、场地变更时必须提交证明；明确统一了申请人在办理人力资源服务许可设立和场地变更时，提交产权证明或者村委会开具的场地使用证明以及租赁合同。</w:t>
      </w:r>
      <w:r>
        <w:rPr>
          <w:rFonts w:hint="eastAsia" w:ascii="仿宋_GB2312" w:hAnsi="仿宋" w:eastAsia="仿宋_GB2312" w:cs="仿宋_GB2312"/>
          <w:b/>
          <w:bCs/>
          <w:sz w:val="32"/>
          <w:szCs w:val="32"/>
          <w:highlight w:val="none"/>
          <w:lang w:val="en-US" w:eastAsia="zh-CN"/>
        </w:rPr>
        <w:t>四是</w:t>
      </w:r>
      <w:r>
        <w:rPr>
          <w:rFonts w:hint="eastAsia" w:ascii="仿宋_GB2312" w:hAnsi="仿宋" w:eastAsia="仿宋_GB2312" w:cs="仿宋_GB2312"/>
          <w:b w:val="0"/>
          <w:bCs w:val="0"/>
          <w:sz w:val="32"/>
          <w:szCs w:val="32"/>
          <w:highlight w:val="none"/>
          <w:lang w:val="en-US" w:eastAsia="zh-CN"/>
        </w:rPr>
        <w:t>严格标准化受理过程，将整个许可审批过程划分为形式性审查和实质性审查，只要申请人提交的资料齐全、符合要求，</w:t>
      </w:r>
      <w:r>
        <w:rPr>
          <w:rFonts w:hint="eastAsia" w:ascii="仿宋_GB2312" w:hAnsi="仿宋" w:eastAsia="仿宋_GB2312" w:cs="仿宋_GB2312"/>
          <w:sz w:val="32"/>
          <w:szCs w:val="32"/>
          <w:highlight w:val="none"/>
          <w:lang w:val="en-US" w:eastAsia="zh-CN"/>
        </w:rPr>
        <w:t>一律进行实质性审核，减少受理过程中的自由裁量权。</w:t>
      </w:r>
      <w:r>
        <w:rPr>
          <w:rFonts w:hint="eastAsia" w:ascii="仿宋_GB2312" w:hAnsi="仿宋" w:eastAsia="仿宋_GB2312" w:cs="仿宋_GB2312"/>
          <w:b/>
          <w:bCs/>
          <w:sz w:val="32"/>
          <w:szCs w:val="32"/>
          <w:highlight w:val="none"/>
          <w:lang w:val="en-US" w:eastAsia="zh-CN"/>
        </w:rPr>
        <w:t>五是</w:t>
      </w:r>
      <w:r>
        <w:rPr>
          <w:rFonts w:hint="eastAsia" w:ascii="仿宋_GB2312" w:hAnsi="仿宋" w:eastAsia="仿宋_GB2312" w:cs="仿宋_GB2312"/>
          <w:b w:val="0"/>
          <w:bCs w:val="0"/>
          <w:sz w:val="32"/>
          <w:szCs w:val="32"/>
          <w:highlight w:val="none"/>
          <w:lang w:val="en-US" w:eastAsia="zh-CN"/>
        </w:rPr>
        <w:t>除了现场核实使用场地外，实质性审查集中于书面审理，依据申请人所提交的材料作出审批决定。</w:t>
      </w:r>
    </w:p>
    <w:p w14:paraId="6BC922EC">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highlight w:val="none"/>
          <w:lang w:val="en-US" w:eastAsia="zh-CN"/>
        </w:rPr>
      </w:pPr>
      <w:r>
        <w:rPr>
          <w:rFonts w:hint="eastAsia" w:ascii="黑体" w:hAnsi="黑体" w:eastAsia="黑体"/>
          <w:sz w:val="32"/>
          <w:szCs w:val="32"/>
          <w:highlight w:val="none"/>
        </w:rPr>
        <w:t>二、存在问题和困难</w:t>
      </w:r>
    </w:p>
    <w:p w14:paraId="026DE0CA">
      <w:pPr>
        <w:keepNext w:val="0"/>
        <w:keepLines w:val="0"/>
        <w:pageBreakBefore w:val="0"/>
        <w:kinsoku/>
        <w:overflowPunct/>
        <w:topLinePunct w:val="0"/>
        <w:autoSpaceDE/>
        <w:autoSpaceDN/>
        <w:bidi w:val="0"/>
        <w:adjustRightInd/>
        <w:snapToGrid/>
        <w:spacing w:line="576" w:lineRule="exact"/>
        <w:ind w:firstLine="643" w:firstLineChars="200"/>
        <w:textAlignment w:val="auto"/>
        <w:rPr>
          <w:rFonts w:hint="eastAsia" w:ascii="仿宋_GB2312" w:eastAsia="仿宋_GB2312"/>
          <w:sz w:val="32"/>
          <w:szCs w:val="32"/>
          <w:highlight w:val="none"/>
          <w:lang w:val="en-US" w:eastAsia="zh-CN"/>
        </w:rPr>
      </w:pPr>
      <w:r>
        <w:rPr>
          <w:rFonts w:hint="eastAsia" w:ascii="楷体_GB2312" w:hAnsi="楷体" w:eastAsia="楷体_GB2312"/>
          <w:b/>
          <w:sz w:val="32"/>
          <w:szCs w:val="32"/>
          <w:highlight w:val="none"/>
          <w:lang w:val="en-US" w:eastAsia="zh-CN"/>
        </w:rPr>
        <w:t>（一）动态监管手段滞后。</w:t>
      </w:r>
      <w:r>
        <w:rPr>
          <w:rFonts w:hint="eastAsia" w:ascii="仿宋_GB2312" w:eastAsia="仿宋_GB2312"/>
          <w:sz w:val="32"/>
          <w:szCs w:val="32"/>
          <w:highlight w:val="none"/>
          <w:lang w:val="en-US" w:eastAsia="zh-CN"/>
        </w:rPr>
        <w:t>由于信息共享机制缺失，未与市场监管、税务部门建立实时数据互通机制，人工巡查覆盖面有限，难以及时发现“空壳公司”，也难以掌握企业注销营业执照、跨地区迁移、经营异常等情况。</w:t>
      </w:r>
    </w:p>
    <w:p w14:paraId="75624703">
      <w:pPr>
        <w:keepNext w:val="0"/>
        <w:keepLines w:val="0"/>
        <w:pageBreakBefore w:val="0"/>
        <w:kinsoku/>
        <w:overflowPunct/>
        <w:topLinePunct w:val="0"/>
        <w:autoSpaceDE/>
        <w:autoSpaceDN/>
        <w:bidi w:val="0"/>
        <w:adjustRightInd/>
        <w:snapToGrid/>
        <w:spacing w:line="576" w:lineRule="exact"/>
        <w:ind w:firstLine="643" w:firstLineChars="200"/>
        <w:textAlignment w:val="auto"/>
        <w:rPr>
          <w:rFonts w:hint="default" w:ascii="仿宋_GB2312" w:eastAsia="仿宋_GB2312"/>
          <w:sz w:val="32"/>
          <w:szCs w:val="32"/>
          <w:highlight w:val="none"/>
          <w:lang w:val="en-US" w:eastAsia="zh-CN"/>
        </w:rPr>
      </w:pPr>
      <w:r>
        <w:rPr>
          <w:rFonts w:hint="eastAsia" w:ascii="楷体_GB2312" w:hAnsi="楷体" w:eastAsia="楷体_GB2312"/>
          <w:b/>
          <w:sz w:val="32"/>
          <w:szCs w:val="32"/>
          <w:highlight w:val="none"/>
          <w:lang w:val="en-US" w:eastAsia="zh-CN"/>
        </w:rPr>
        <w:t>（二）行业自律与监督缺位。</w:t>
      </w:r>
      <w:r>
        <w:rPr>
          <w:rFonts w:hint="eastAsia" w:ascii="仿宋_GB2312" w:eastAsia="仿宋_GB2312"/>
          <w:sz w:val="32"/>
          <w:szCs w:val="32"/>
          <w:highlight w:val="none"/>
          <w:lang w:val="en-US" w:eastAsia="zh-CN"/>
        </w:rPr>
        <w:t>由于普遍未成立行业协会，在行业自律与监督方面缺乏有力抓手，行业监管过度依赖单一政府主体，造成行业监管力量不足。</w:t>
      </w:r>
    </w:p>
    <w:p w14:paraId="7444C27F">
      <w:pPr>
        <w:keepNext w:val="0"/>
        <w:keepLines w:val="0"/>
        <w:pageBreakBefore w:val="0"/>
        <w:numPr>
          <w:ilvl w:val="0"/>
          <w:numId w:val="1"/>
        </w:numPr>
        <w:kinsoku/>
        <w:overflowPunct/>
        <w:topLinePunct w:val="0"/>
        <w:autoSpaceDE/>
        <w:autoSpaceDN/>
        <w:bidi w:val="0"/>
        <w:adjustRightInd/>
        <w:snapToGrid/>
        <w:spacing w:line="576" w:lineRule="exact"/>
        <w:ind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rPr>
        <w:t>下一步工作措施</w:t>
      </w:r>
    </w:p>
    <w:p w14:paraId="074B6A5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 w:eastAsia="楷体_GB2312"/>
          <w:b/>
          <w:sz w:val="32"/>
          <w:szCs w:val="32"/>
          <w:highlight w:val="none"/>
          <w:lang w:val="en-US" w:eastAsia="zh-CN"/>
        </w:rPr>
      </w:pPr>
      <w:r>
        <w:rPr>
          <w:rFonts w:hint="eastAsia" w:ascii="楷体_GB2312" w:hAnsi="楷体" w:eastAsia="楷体_GB2312"/>
          <w:b/>
          <w:sz w:val="32"/>
          <w:szCs w:val="32"/>
          <w:highlight w:val="none"/>
          <w:lang w:val="en-US" w:eastAsia="zh-CN"/>
        </w:rPr>
        <w:t>进一步完善动态监管手段。</w:t>
      </w:r>
      <w:r>
        <w:rPr>
          <w:rFonts w:hint="eastAsia" w:ascii="仿宋_GB2312" w:hAnsi="仿宋_GB2312" w:eastAsia="仿宋_GB2312" w:cs="仿宋_GB2312"/>
          <w:b w:val="0"/>
          <w:bCs/>
          <w:sz w:val="32"/>
          <w:szCs w:val="32"/>
          <w:highlight w:val="none"/>
          <w:lang w:val="en-US" w:eastAsia="zh-CN"/>
        </w:rPr>
        <w:t>探索建立与市场监管、税务部门的信息共享机制，实现对企业经营信息的互通；定期开展“双随机、一公开”检查以及相关专项行动，重点对“空壳公司”、高风险企业（12345热线投诉较多、未按时进行年报、年审企业）进行检查、治理，进一步整顿、规范行业秩序。</w:t>
      </w:r>
    </w:p>
    <w:p w14:paraId="3B2019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楷体_GB2312" w:hAnsi="楷体" w:eastAsia="楷体_GB2312"/>
          <w:b/>
          <w:sz w:val="32"/>
          <w:szCs w:val="32"/>
          <w:highlight w:val="none"/>
          <w:lang w:val="en-US" w:eastAsia="zh-CN"/>
        </w:rPr>
        <w:t>（二）进一步强化行业自律与监督。</w:t>
      </w:r>
      <w:r>
        <w:rPr>
          <w:rFonts w:hint="eastAsia" w:ascii="仿宋_GB2312" w:hAnsi="仿宋_GB2312" w:eastAsia="仿宋_GB2312" w:cs="仿宋_GB2312"/>
          <w:b w:val="0"/>
          <w:bCs/>
          <w:sz w:val="32"/>
          <w:szCs w:val="32"/>
          <w:highlight w:val="none"/>
          <w:lang w:val="en-US" w:eastAsia="zh-CN"/>
        </w:rPr>
        <w:t>积极推动组建区人力资源服务等行业协会，制定《行业自律公约》，实行会员企业“黑名单”退出机制；协会牵头组织开展政策宣传解读、合规培训等活动，进一步引导企业规范经营，有力弥补政府监管力量的不足。</w:t>
      </w:r>
    </w:p>
    <w:p w14:paraId="0E271D7B">
      <w:pPr>
        <w:tabs>
          <w:tab w:val="left" w:pos="735"/>
        </w:tabs>
        <w:spacing w:line="560" w:lineRule="exact"/>
        <w:ind w:firstLine="640" w:firstLineChars="200"/>
        <w:rPr>
          <w:rFonts w:hint="eastAsia" w:ascii="仿宋_GB2312" w:hAnsi="仿宋_GB2312" w:eastAsia="仿宋_GB2312" w:cs="仿宋_GB2312"/>
          <w:sz w:val="32"/>
          <w:szCs w:val="32"/>
          <w:highlight w:val="none"/>
          <w:lang w:eastAsia="zh-CN"/>
        </w:rPr>
      </w:pPr>
    </w:p>
    <w:p w14:paraId="1A724995">
      <w:pPr>
        <w:tabs>
          <w:tab w:val="left" w:pos="735"/>
        </w:tabs>
        <w:spacing w:line="560" w:lineRule="exact"/>
        <w:ind w:firstLine="640" w:firstLineChars="200"/>
        <w:rPr>
          <w:rFonts w:hint="eastAsia" w:ascii="仿宋_GB2312" w:hAnsi="仿宋_GB2312" w:eastAsia="仿宋_GB2312" w:cs="仿宋_GB2312"/>
          <w:sz w:val="32"/>
          <w:szCs w:val="32"/>
          <w:highlight w:val="none"/>
          <w:lang w:eastAsia="zh-CN"/>
        </w:rPr>
      </w:pPr>
    </w:p>
    <w:p w14:paraId="774A89B3">
      <w:pPr>
        <w:tabs>
          <w:tab w:val="left" w:pos="735"/>
        </w:tabs>
        <w:spacing w:line="560" w:lineRule="exact"/>
        <w:ind w:firstLine="640" w:firstLineChars="200"/>
        <w:rPr>
          <w:rFonts w:hint="eastAsia" w:ascii="仿宋_GB2312" w:hAnsi="仿宋_GB2312" w:eastAsia="仿宋_GB2312" w:cs="仿宋_GB2312"/>
          <w:sz w:val="32"/>
          <w:szCs w:val="32"/>
          <w:highlight w:val="none"/>
          <w:lang w:eastAsia="zh-CN"/>
        </w:rPr>
      </w:pPr>
    </w:p>
    <w:p w14:paraId="758302E6">
      <w:pPr>
        <w:tabs>
          <w:tab w:val="left" w:pos="735"/>
        </w:tabs>
        <w:spacing w:line="560" w:lineRule="exact"/>
        <w:ind w:firstLine="640" w:firstLineChars="200"/>
        <w:rPr>
          <w:rFonts w:hint="eastAsia" w:ascii="仿宋_GB2312" w:hAnsi="仿宋_GB2312" w:eastAsia="仿宋_GB2312" w:cs="仿宋_GB2312"/>
          <w:sz w:val="32"/>
          <w:szCs w:val="32"/>
          <w:highlight w:val="none"/>
          <w:lang w:eastAsia="zh-CN"/>
        </w:rPr>
      </w:pPr>
    </w:p>
    <w:p w14:paraId="046EF554">
      <w:pPr>
        <w:tabs>
          <w:tab w:val="left" w:pos="735"/>
        </w:tabs>
        <w:spacing w:line="560" w:lineRule="exact"/>
        <w:ind w:firstLine="640" w:firstLineChars="200"/>
        <w:jc w:val="righ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广州市花都区人力资源和社会保障局</w:t>
      </w:r>
    </w:p>
    <w:p w14:paraId="76D4796F">
      <w:pPr>
        <w:tabs>
          <w:tab w:val="left" w:pos="735"/>
        </w:tabs>
        <w:spacing w:line="560" w:lineRule="exact"/>
        <w:ind w:firstLine="640" w:firstLineChars="200"/>
        <w:jc w:val="center"/>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2025</w:t>
      </w:r>
      <w:bookmarkStart w:id="0" w:name="_GoBack"/>
      <w:bookmarkEnd w:id="0"/>
      <w:r>
        <w:rPr>
          <w:rFonts w:hint="eastAsia" w:ascii="仿宋_GB2312" w:hAnsi="仿宋_GB2312" w:eastAsia="仿宋_GB2312" w:cs="仿宋_GB2312"/>
          <w:sz w:val="32"/>
          <w:szCs w:val="32"/>
          <w:highlight w:val="none"/>
          <w:lang w:val="en-US" w:eastAsia="zh-CN"/>
        </w:rPr>
        <w:t>年3月28日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2EC2BF-338D-442F-9C3B-62C7006255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2" w:fontKey="{CC4205C5-6C83-4BAE-A327-C3CF5214ED47}"/>
  </w:font>
  <w:font w:name="仿宋_GB2312">
    <w:panose1 w:val="02010609030101010101"/>
    <w:charset w:val="86"/>
    <w:family w:val="modern"/>
    <w:pitch w:val="default"/>
    <w:sig w:usb0="00000001" w:usb1="080E0000" w:usb2="00000000" w:usb3="00000000" w:csb0="00040000" w:csb1="00000000"/>
    <w:embedRegular r:id="rId3" w:fontKey="{765DA801-1376-45D0-9833-CBDED68D83A8}"/>
  </w:font>
  <w:font w:name="楷体_GB2312">
    <w:panose1 w:val="02010609030101010101"/>
    <w:charset w:val="86"/>
    <w:family w:val="modern"/>
    <w:pitch w:val="default"/>
    <w:sig w:usb0="00000001" w:usb1="080E0000" w:usb2="00000000" w:usb3="00000000" w:csb0="00040000" w:csb1="00000000"/>
    <w:embedRegular r:id="rId4" w:fontKey="{0CCEDD4B-51A4-4AF0-BC0C-1A2E39FBFBD0}"/>
  </w:font>
  <w:font w:name="楷体">
    <w:panose1 w:val="02010609060101010101"/>
    <w:charset w:val="86"/>
    <w:family w:val="modern"/>
    <w:pitch w:val="default"/>
    <w:sig w:usb0="800002BF" w:usb1="38CF7CFA" w:usb2="00000016" w:usb3="00000000" w:csb0="00040001" w:csb1="00000000"/>
    <w:embedRegular r:id="rId5" w:fontKey="{C1686E44-87E9-42F8-917C-DC2551C5C562}"/>
  </w:font>
  <w:font w:name="仿宋">
    <w:panose1 w:val="02010609060101010101"/>
    <w:charset w:val="86"/>
    <w:family w:val="auto"/>
    <w:pitch w:val="default"/>
    <w:sig w:usb0="800002BF" w:usb1="38CF7CFA" w:usb2="00000016" w:usb3="00000000" w:csb0="00040001" w:csb1="00000000"/>
    <w:embedRegular r:id="rId6" w:fontKey="{4F2B6772-33E7-4099-BB66-7CB8408E5A8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F9F6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219003">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219003">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010D54"/>
    <w:multiLevelType w:val="singleLevel"/>
    <w:tmpl w:val="C0010D54"/>
    <w:lvl w:ilvl="0" w:tentative="0">
      <w:start w:val="3"/>
      <w:numFmt w:val="chineseCounting"/>
      <w:suff w:val="nothing"/>
      <w:lvlText w:val="%1、"/>
      <w:lvlJc w:val="left"/>
      <w:rPr>
        <w:rFonts w:hint="eastAsia"/>
      </w:rPr>
    </w:lvl>
  </w:abstractNum>
  <w:abstractNum w:abstractNumId="1">
    <w:nsid w:val="06519AAB"/>
    <w:multiLevelType w:val="singleLevel"/>
    <w:tmpl w:val="06519AA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YjQ1ZjQwYTM4MzBhNjMwZDAyNmJlNTZhZGFiMTIifQ=="/>
  </w:docVars>
  <w:rsids>
    <w:rsidRoot w:val="17864CD7"/>
    <w:rsid w:val="013E57FD"/>
    <w:rsid w:val="01B1620E"/>
    <w:rsid w:val="08F8136C"/>
    <w:rsid w:val="0F12584A"/>
    <w:rsid w:val="16031CD8"/>
    <w:rsid w:val="17864CD7"/>
    <w:rsid w:val="219E5672"/>
    <w:rsid w:val="24744BEF"/>
    <w:rsid w:val="274D7AB8"/>
    <w:rsid w:val="2AB040EC"/>
    <w:rsid w:val="2FCF34D8"/>
    <w:rsid w:val="4CF6702F"/>
    <w:rsid w:val="4EE176C8"/>
    <w:rsid w:val="5B1D0E82"/>
    <w:rsid w:val="724F1CC3"/>
    <w:rsid w:val="74E763CE"/>
    <w:rsid w:val="79AC23D2"/>
    <w:rsid w:val="7C275026"/>
    <w:rsid w:val="7E9E06D8"/>
    <w:rsid w:val="7F427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区人力资源社会保障局</Company>
  <Pages>5</Pages>
  <Words>2565</Words>
  <Characters>2631</Characters>
  <Lines>0</Lines>
  <Paragraphs>0</Paragraphs>
  <TotalTime>53</TotalTime>
  <ScaleCrop>false</ScaleCrop>
  <LinksUpToDate>false</LinksUpToDate>
  <CharactersWithSpaces>2646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2024-03-26T07:19:00Z</dcterms:created>
  <dc:creator>蓝猫</dc:creator>
  <cp:lastModifiedBy>蓝猫</cp:lastModifiedBy>
  <cp:lastPrinted>2024-03-29T03:22:00Z</cp:lastPrinted>
  <dcterms:modified xsi:type="dcterms:W3CDTF">2025-03-28T06:07:14Z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BE9BB4E1DA5543CFA68876D5F14F2FB0_12</vt:lpwstr>
  </property>
  <property fmtid="{D5CDD505-2E9C-101B-9397-08002B2CF9AE}" pid="4" name="KSOTemplateDocerSaveRecord">
    <vt:lpwstr>eyJoZGlkIjoiYTE5ZjAyMGMwOGU2MDE0ZmZhOTZmM2E0ZDM3MWM3ZWEiLCJ1c2VySWQiOiIyODQyNDY5NjAifQ==</vt:lpwstr>
  </property>
</Properties>
</file>