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D0E5">
      <w:pPr>
        <w:spacing w:line="560" w:lineRule="exact"/>
        <w:jc w:val="right"/>
        <w:rPr>
          <w:rFonts w:hint="eastAsia" w:ascii="方正小标宋_GBK" w:hAnsi="方正小标宋_GBK" w:eastAsia="方正小标宋_GBK" w:cs="方正小标宋_GBK"/>
          <w:bCs/>
          <w:color w:val="auto"/>
          <w:sz w:val="44"/>
          <w:szCs w:val="44"/>
        </w:rPr>
      </w:pPr>
      <w:r>
        <w:rPr>
          <w:rFonts w:hint="default" w:ascii="Times New Roman" w:hAnsi="Times New Roman" w:eastAsia="仿宋_GB2312" w:cs="Times New Roman"/>
          <w:sz w:val="32"/>
          <w:szCs w:val="32"/>
          <w:highlight w:val="none"/>
          <w:lang w:val="en-US" w:eastAsia="zh-CN"/>
        </w:rPr>
        <w:t>粤府土审（02）〔202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lang w:val="en-US" w:eastAsia="zh-CN"/>
        </w:rPr>
        <w:t>号</w:t>
      </w:r>
    </w:p>
    <w:p w14:paraId="34ACF8B5">
      <w:pPr>
        <w:spacing w:line="560" w:lineRule="exact"/>
        <w:jc w:val="center"/>
        <w:rPr>
          <w:rFonts w:hint="eastAsia" w:ascii="方正小标宋_GBK" w:hAnsi="方正小标宋_GBK" w:eastAsia="方正小标宋_GBK" w:cs="方正小标宋_GBK"/>
          <w:bCs/>
          <w:color w:val="auto"/>
          <w:sz w:val="44"/>
          <w:szCs w:val="44"/>
        </w:rPr>
      </w:pPr>
    </w:p>
    <w:p w14:paraId="50DDE05B">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广东省人民政府关于广州市花都区</w:t>
      </w:r>
    </w:p>
    <w:p w14:paraId="051EA6D0">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2024年度第三十九批次</w:t>
      </w:r>
    </w:p>
    <w:p w14:paraId="139C3C72">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rPr>
        <w:t>城镇建设用地</w:t>
      </w:r>
      <w:r>
        <w:rPr>
          <w:rFonts w:hint="eastAsia" w:ascii="方正小标宋_GBK" w:hAnsi="方正小标宋_GBK" w:eastAsia="方正小标宋_GBK" w:cs="方正小标宋_GBK"/>
          <w:bCs/>
          <w:color w:val="auto"/>
          <w:sz w:val="44"/>
          <w:szCs w:val="44"/>
          <w:u w:val="none"/>
        </w:rPr>
        <w:t>的批复</w:t>
      </w:r>
    </w:p>
    <w:p w14:paraId="66CA970B">
      <w:pPr>
        <w:widowControl/>
        <w:spacing w:line="600" w:lineRule="exact"/>
        <w:jc w:val="center"/>
        <w:textAlignment w:val="baseline"/>
        <w:rPr>
          <w:rFonts w:hint="eastAsia"/>
          <w:b/>
          <w:color w:val="auto"/>
          <w:sz w:val="32"/>
          <w:szCs w:val="32"/>
          <w:u w:val="none"/>
        </w:rPr>
      </w:pPr>
    </w:p>
    <w:p w14:paraId="093046C0">
      <w:pPr>
        <w:widowControl/>
        <w:spacing w:line="560" w:lineRule="exact"/>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14:paraId="5284D289">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广州市规划和自然资源局</w:t>
      </w:r>
      <w:r>
        <w:rPr>
          <w:rFonts w:hint="eastAsia" w:ascii="仿宋_GB2312" w:hAnsi="仿宋_GB2312" w:eastAsia="仿宋_GB2312" w:cs="仿宋_GB2312"/>
          <w:color w:val="auto"/>
          <w:sz w:val="32"/>
          <w:szCs w:val="32"/>
          <w:u w:val="none"/>
        </w:rPr>
        <w:t>关于审批广州市花都区2024年度第三十九批次城镇建设用地的请示》（</w:t>
      </w:r>
      <w:r>
        <w:rPr>
          <w:rFonts w:hint="eastAsia" w:ascii="仿宋_GB2312" w:hAnsi="仿宋_GB2312" w:eastAsia="仿宋_GB2312" w:cs="仿宋_GB2312"/>
          <w:color w:val="auto"/>
          <w:sz w:val="32"/>
          <w:szCs w:val="32"/>
          <w:highlight w:val="none"/>
          <w:u w:val="none"/>
          <w:lang w:val="en-US" w:eastAsia="zh-CN"/>
        </w:rPr>
        <w:t>穗规划资源（用地）报〔2025〕135号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《广州市花都区人民政府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lang w:val="en-US" w:eastAsia="zh-CN"/>
        </w:rPr>
        <w:t>广州市花都区2024年度第三十九批次城镇建设用地土地征收</w:t>
      </w:r>
      <w:r>
        <w:rPr>
          <w:rFonts w:hint="eastAsia" w:ascii="仿宋_GB2312" w:hAnsi="仿宋_GB2312" w:eastAsia="仿宋_GB2312" w:cs="仿宋_GB2312"/>
          <w:color w:val="auto"/>
          <w:sz w:val="32"/>
          <w:szCs w:val="32"/>
          <w:lang w:eastAsia="zh-CN"/>
        </w:rPr>
        <w:t>的请示》</w:t>
      </w:r>
      <w:r>
        <w:rPr>
          <w:rFonts w:hint="eastAsia" w:ascii="仿宋_GB2312" w:hAnsi="仿宋_GB2312" w:eastAsia="仿宋_GB2312" w:cs="仿宋_GB2312"/>
          <w:color w:val="auto"/>
          <w:sz w:val="32"/>
          <w:szCs w:val="32"/>
          <w:highlight w:val="none"/>
          <w:lang w:val="en-US" w:eastAsia="zh-CN"/>
        </w:rPr>
        <w:t>（花府字</w:t>
      </w:r>
      <w:r>
        <w:rPr>
          <w:rFonts w:hint="eastAsia" w:ascii="仿宋_GB2312" w:hAnsi="仿宋_GB2312" w:eastAsia="仿宋_GB2312" w:cs="仿宋_GB2312"/>
          <w:color w:val="auto"/>
          <w:sz w:val="32"/>
          <w:szCs w:val="32"/>
          <w:highlight w:val="none"/>
          <w:u w:val="none"/>
          <w:lang w:val="en-US" w:eastAsia="zh-CN"/>
        </w:rPr>
        <w:t>〔2025〕11号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条有关规定</w:t>
      </w:r>
      <w:r>
        <w:rPr>
          <w:rFonts w:hint="eastAsia" w:ascii="仿宋_GB2312" w:hAnsi="仿宋_GB2312" w:eastAsia="仿宋_GB2312" w:cs="仿宋_GB2312"/>
          <w:color w:val="auto"/>
          <w:sz w:val="32"/>
          <w:szCs w:val="32"/>
          <w:u w:val="none"/>
        </w:rPr>
        <w:t>，批复如下：</w:t>
      </w:r>
    </w:p>
    <w:p w14:paraId="6CACEA91">
      <w:pPr>
        <w:pStyle w:val="6"/>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ascii="仿宋_GB2312" w:hAnsi="仿宋_GB2312" w:eastAsia="仿宋_GB2312" w:cs="仿宋_GB2312"/>
          <w:color w:val="auto"/>
          <w:sz w:val="32"/>
          <w:szCs w:val="32"/>
          <w:lang w:val="en-US" w:eastAsia="zh-CN"/>
        </w:rPr>
        <w:t>6.2494</w:t>
      </w:r>
      <w:r>
        <w:rPr>
          <w:rFonts w:hint="eastAsia" w:ascii="仿宋_GB2312" w:hAnsi="仿宋_GB2312" w:eastAsia="仿宋_GB2312" w:cs="仿宋_GB2312"/>
          <w:color w:val="auto"/>
          <w:sz w:val="32"/>
          <w:szCs w:val="32"/>
        </w:rPr>
        <w:t>公顷城</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建设用地</w:t>
      </w:r>
      <w:r>
        <w:rPr>
          <w:rFonts w:hint="eastAsia" w:ascii="仿宋_GB2312" w:hAnsi="仿宋_GB2312" w:eastAsia="仿宋_GB2312" w:cs="仿宋_GB2312"/>
          <w:color w:val="auto"/>
          <w:sz w:val="32"/>
          <w:szCs w:val="32"/>
          <w:u w:val="none"/>
          <w:lang w:eastAsia="zh-CN"/>
        </w:rPr>
        <w:t>，即</w:t>
      </w:r>
      <w:r>
        <w:rPr>
          <w:rFonts w:hint="eastAsia" w:ascii="仿宋_GB2312" w:hAnsi="仿宋_GB2312" w:eastAsia="仿宋_GB2312" w:cs="仿宋_GB2312"/>
          <w:color w:val="auto"/>
          <w:sz w:val="32"/>
          <w:szCs w:val="32"/>
          <w:u w:val="none"/>
        </w:rPr>
        <w:t>同意你市将</w:t>
      </w:r>
      <w:r>
        <w:rPr>
          <w:rFonts w:hint="eastAsia" w:ascii="仿宋_GB2312" w:hAnsi="仿宋_GB2312" w:eastAsia="仿宋_GB2312" w:cs="仿宋_GB2312"/>
          <w:color w:val="auto"/>
          <w:sz w:val="32"/>
          <w:szCs w:val="32"/>
          <w:u w:val="none"/>
          <w:lang w:eastAsia="zh-CN"/>
        </w:rPr>
        <w:t>花都</w:t>
      </w:r>
      <w:r>
        <w:rPr>
          <w:rFonts w:hint="eastAsia" w:ascii="仿宋_GB2312" w:hAnsi="仿宋_GB2312" w:eastAsia="仿宋_GB2312" w:cs="仿宋_GB2312"/>
          <w:color w:val="auto"/>
          <w:sz w:val="32"/>
          <w:szCs w:val="32"/>
          <w:u w:val="none"/>
        </w:rPr>
        <w:t>区</w:t>
      </w:r>
      <w:r>
        <w:rPr>
          <w:rFonts w:hint="eastAsia" w:ascii="仿宋_GB2312" w:hAnsi="仿宋_GB2312" w:eastAsia="仿宋_GB2312" w:cs="仿宋_GB2312"/>
          <w:color w:val="auto"/>
          <w:kern w:val="2"/>
          <w:sz w:val="32"/>
          <w:szCs w:val="32"/>
          <w:highlight w:val="none"/>
          <w:lang w:val="en-US" w:eastAsia="zh-CN" w:bidi="ar"/>
        </w:rPr>
        <w:t>狮岭镇合成横坑一经济合作社、合成横坑二经济合作社、合成历成一经济合作社、合成历成二经济合作社、合成历成三经济合作社</w:t>
      </w:r>
      <w:r>
        <w:rPr>
          <w:rFonts w:hint="eastAsia" w:ascii="仿宋_GB2312" w:hAnsi="仿宋_GB2312" w:eastAsia="仿宋_GB2312" w:cs="仿宋_GB2312"/>
          <w:color w:val="auto"/>
          <w:sz w:val="32"/>
          <w:szCs w:val="32"/>
          <w:u w:val="none"/>
        </w:rPr>
        <w:t>属下的集体农用地</w:t>
      </w:r>
      <w:r>
        <w:rPr>
          <w:rFonts w:hint="eastAsia" w:ascii="仿宋_GB2312" w:hAnsi="仿宋_GB2312" w:eastAsia="仿宋_GB2312" w:cs="仿宋_GB2312"/>
          <w:color w:val="auto"/>
          <w:sz w:val="32"/>
          <w:szCs w:val="32"/>
          <w:u w:val="none"/>
          <w:lang w:val="en-US" w:eastAsia="zh-CN"/>
        </w:rPr>
        <w:t>6.2235</w:t>
      </w:r>
      <w:r>
        <w:rPr>
          <w:rFonts w:hint="eastAsia" w:ascii="仿宋_GB2312" w:hAnsi="仿宋_GB2312" w:eastAsia="仿宋_GB2312" w:cs="仿宋_GB2312"/>
          <w:color w:val="auto"/>
          <w:sz w:val="32"/>
          <w:szCs w:val="32"/>
          <w:u w:val="none"/>
        </w:rPr>
        <w:t>公顷（</w:t>
      </w:r>
      <w:r>
        <w:rPr>
          <w:rFonts w:hint="eastAsia" w:ascii="仿宋_GB2312" w:hAnsi="仿宋_GB2312" w:eastAsia="仿宋_GB2312" w:cs="仿宋_GB2312"/>
          <w:color w:val="auto"/>
          <w:sz w:val="32"/>
          <w:szCs w:val="32"/>
          <w:u w:val="none"/>
          <w:lang w:eastAsia="zh-CN"/>
        </w:rPr>
        <w:t>其中</w:t>
      </w:r>
      <w:r>
        <w:rPr>
          <w:rFonts w:hint="eastAsia" w:ascii="仿宋_GB2312" w:hAnsi="仿宋_GB2312" w:eastAsia="仿宋_GB2312" w:cs="仿宋_GB2312"/>
          <w:color w:val="auto"/>
          <w:sz w:val="32"/>
          <w:szCs w:val="32"/>
          <w:u w:val="none"/>
        </w:rPr>
        <w:t>耕地</w:t>
      </w:r>
      <w:r>
        <w:rPr>
          <w:rFonts w:hint="eastAsia" w:ascii="仿宋_GB2312" w:hAnsi="仿宋_GB2312" w:eastAsia="仿宋_GB2312" w:cs="仿宋_GB2312"/>
          <w:color w:val="auto"/>
          <w:sz w:val="32"/>
          <w:szCs w:val="32"/>
          <w:u w:val="none"/>
          <w:lang w:val="en-US" w:eastAsia="zh-CN"/>
        </w:rPr>
        <w:t>0.1154</w:t>
      </w:r>
      <w:r>
        <w:rPr>
          <w:rFonts w:hint="eastAsia" w:ascii="仿宋_GB2312" w:hAnsi="仿宋_GB2312" w:eastAsia="仿宋_GB2312" w:cs="仿宋_GB2312"/>
          <w:color w:val="auto"/>
          <w:sz w:val="32"/>
          <w:szCs w:val="32"/>
          <w:u w:val="none"/>
        </w:rPr>
        <w:t>公顷）转为建设用地，同时使用上述有关村集体建设用地</w:t>
      </w:r>
      <w:r>
        <w:rPr>
          <w:rFonts w:hint="eastAsia" w:ascii="仿宋_GB2312" w:hAnsi="仿宋_GB2312" w:eastAsia="仿宋_GB2312" w:cs="仿宋_GB2312"/>
          <w:color w:val="auto"/>
          <w:sz w:val="32"/>
          <w:szCs w:val="32"/>
          <w:u w:val="none"/>
          <w:lang w:val="en-US" w:eastAsia="zh-CN"/>
        </w:rPr>
        <w:t>0.0259</w:t>
      </w:r>
      <w:r>
        <w:rPr>
          <w:rFonts w:hint="eastAsia" w:ascii="仿宋_GB2312" w:hAnsi="仿宋_GB2312" w:eastAsia="仿宋_GB2312" w:cs="仿宋_GB2312"/>
          <w:color w:val="auto"/>
          <w:sz w:val="32"/>
          <w:szCs w:val="32"/>
          <w:u w:val="none"/>
        </w:rPr>
        <w:t>公顷，以上合计</w:t>
      </w:r>
      <w:r>
        <w:rPr>
          <w:rFonts w:hint="eastAsia" w:ascii="仿宋_GB2312" w:hAnsi="仿宋_GB2312" w:eastAsia="仿宋_GB2312" w:cs="仿宋_GB2312"/>
          <w:color w:val="auto"/>
          <w:sz w:val="32"/>
          <w:szCs w:val="32"/>
          <w:u w:val="none"/>
          <w:lang w:val="en-US" w:eastAsia="zh-CN"/>
        </w:rPr>
        <w:t>6.2494</w:t>
      </w:r>
      <w:r>
        <w:rPr>
          <w:rFonts w:hint="eastAsia" w:ascii="仿宋_GB2312" w:hAnsi="仿宋_GB2312" w:eastAsia="仿宋_GB2312" w:cs="仿宋_GB2312"/>
          <w:color w:val="auto"/>
          <w:sz w:val="32"/>
          <w:szCs w:val="32"/>
          <w:u w:val="none"/>
        </w:rPr>
        <w:t>公顷集体土地一并办理</w:t>
      </w:r>
      <w:r>
        <w:rPr>
          <w:rFonts w:hint="eastAsia" w:ascii="仿宋_GB2312" w:hAnsi="仿宋_GB2312" w:eastAsia="仿宋_GB2312" w:cs="仿宋_GB2312"/>
          <w:color w:val="auto"/>
          <w:sz w:val="32"/>
          <w:szCs w:val="32"/>
          <w:u w:val="none"/>
          <w:lang w:eastAsia="zh-CN"/>
        </w:rPr>
        <w:t>征地</w:t>
      </w:r>
      <w:r>
        <w:rPr>
          <w:rFonts w:hint="eastAsia" w:ascii="仿宋_GB2312" w:hAnsi="仿宋_GB2312" w:eastAsia="仿宋_GB2312" w:cs="仿宋_GB2312"/>
          <w:color w:val="auto"/>
          <w:sz w:val="32"/>
          <w:szCs w:val="32"/>
          <w:u w:val="none"/>
        </w:rPr>
        <w:t>手续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u w:val="none"/>
        </w:rPr>
        <w:t>上述</w:t>
      </w:r>
      <w:r>
        <w:rPr>
          <w:rFonts w:hint="eastAsia" w:ascii="仿宋_GB2312" w:hAnsi="仿宋_GB2312" w:eastAsia="仿宋_GB2312" w:cs="仿宋_GB2312"/>
          <w:color w:val="auto"/>
          <w:sz w:val="32"/>
          <w:szCs w:val="32"/>
          <w:highlight w:val="none"/>
          <w:u w:val="none"/>
          <w:lang w:eastAsia="zh-CN"/>
        </w:rPr>
        <w:t>批准建设用地</w:t>
      </w:r>
      <w:r>
        <w:rPr>
          <w:rFonts w:hint="eastAsia" w:ascii="仿宋_GB2312" w:hAnsi="仿宋_GB2312" w:eastAsia="仿宋_GB2312" w:cs="仿宋_GB2312"/>
          <w:color w:val="auto"/>
          <w:sz w:val="32"/>
          <w:szCs w:val="32"/>
          <w:highlight w:val="none"/>
          <w:u w:val="none"/>
          <w:lang w:val="en-US" w:eastAsia="zh-CN"/>
        </w:rPr>
        <w:t>6.2494</w:t>
      </w:r>
      <w:r>
        <w:rPr>
          <w:rFonts w:hint="eastAsia" w:ascii="仿宋_GB2312" w:hAnsi="仿宋_GB2312" w:eastAsia="仿宋_GB2312" w:cs="仿宋_GB2312"/>
          <w:color w:val="auto"/>
          <w:sz w:val="32"/>
          <w:szCs w:val="32"/>
          <w:highlight w:val="none"/>
          <w:u w:val="none"/>
        </w:rPr>
        <w:t>公顷</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0"/>
          <w:sz w:val="32"/>
          <w:szCs w:val="32"/>
          <w:u w:val="none"/>
          <w:lang w:val="en-US" w:eastAsia="zh-CN" w:bidi="ar"/>
        </w:rPr>
        <w:t>当地人民政府依法依规供应</w:t>
      </w:r>
      <w:r>
        <w:rPr>
          <w:rFonts w:hint="eastAsia" w:ascii="仿宋_GB2312" w:hAnsi="仿宋_GB2312" w:eastAsia="仿宋_GB2312" w:cs="仿宋_GB2312"/>
          <w:color w:val="auto"/>
          <w:sz w:val="32"/>
          <w:szCs w:val="32"/>
        </w:rPr>
        <w:t>。</w:t>
      </w:r>
    </w:p>
    <w:p w14:paraId="675C8925">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w:t>
      </w:r>
      <w:r>
        <w:rPr>
          <w:rFonts w:hint="eastAsia" w:ascii="仿宋_GB2312" w:hAnsi="仿宋_GB2312" w:eastAsia="仿宋_GB2312" w:cs="仿宋_GB2312"/>
          <w:color w:val="auto"/>
          <w:kern w:val="0"/>
          <w:sz w:val="32"/>
          <w:szCs w:val="32"/>
          <w:lang w:eastAsia="zh-CN" w:bidi="ar"/>
        </w:rPr>
        <w:t>市人民</w:t>
      </w:r>
      <w:r>
        <w:rPr>
          <w:rFonts w:hint="eastAsia" w:ascii="仿宋_GB2312" w:hAnsi="仿宋_GB2312" w:eastAsia="仿宋_GB2312" w:cs="仿宋_GB2312"/>
          <w:color w:val="auto"/>
          <w:kern w:val="0"/>
          <w:sz w:val="32"/>
          <w:szCs w:val="32"/>
          <w:lang w:val="en-US" w:eastAsia="zh-CN" w:bidi="ar"/>
        </w:rPr>
        <w:t>政府负责落实补充耕地</w:t>
      </w:r>
      <w:r>
        <w:rPr>
          <w:rFonts w:hint="eastAsia" w:ascii="仿宋_GB2312" w:hAnsi="仿宋_GB2312" w:eastAsia="仿宋_GB2312" w:cs="仿宋_GB2312"/>
          <w:color w:val="auto"/>
          <w:sz w:val="32"/>
          <w:szCs w:val="32"/>
        </w:rPr>
        <w:t>。督促补充耕地责任单位认真</w:t>
      </w:r>
      <w:r>
        <w:rPr>
          <w:rFonts w:hint="eastAsia" w:ascii="仿宋_GB2312" w:hAnsi="仿宋_GB2312" w:eastAsia="仿宋_GB2312" w:cs="仿宋_GB2312"/>
          <w:color w:val="auto"/>
          <w:sz w:val="32"/>
          <w:szCs w:val="32"/>
          <w:lang w:eastAsia="zh-CN"/>
        </w:rPr>
        <w:t>落实耕地占补平衡</w:t>
      </w:r>
      <w:r>
        <w:rPr>
          <w:rFonts w:hint="eastAsia" w:ascii="仿宋_GB2312" w:hAnsi="仿宋_GB2312" w:eastAsia="仿宋_GB2312" w:cs="仿宋_GB2312"/>
          <w:color w:val="auto"/>
          <w:sz w:val="32"/>
          <w:szCs w:val="32"/>
        </w:rPr>
        <w:t>，补充数量相等、质量相当的耕地，对应核销耕地数量、水田规模和标准粮食产能指标（确认信息编号：</w:t>
      </w:r>
      <w:r>
        <w:rPr>
          <w:rFonts w:hint="eastAsia" w:ascii="仿宋_GB2312" w:hAnsi="仿宋_GB2312" w:eastAsia="仿宋_GB2312" w:cs="仿宋_GB2312"/>
          <w:color w:val="auto"/>
          <w:sz w:val="32"/>
          <w:szCs w:val="32"/>
          <w:lang w:val="en-US" w:eastAsia="zh-CN"/>
        </w:rPr>
        <w:t>440000202504671186</w:t>
      </w:r>
      <w:r>
        <w:rPr>
          <w:rFonts w:hint="eastAsia" w:ascii="仿宋_GB2312" w:hAnsi="仿宋_GB2312" w:eastAsia="仿宋_GB2312" w:cs="仿宋_GB2312"/>
          <w:color w:val="auto"/>
          <w:sz w:val="32"/>
          <w:szCs w:val="32"/>
        </w:rPr>
        <w:t>）。</w:t>
      </w:r>
    </w:p>
    <w:p w14:paraId="551D2E21">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lang w:eastAsia="zh-CN"/>
        </w:rPr>
        <w:t>你市相关不动产登记机构以此办理集体土地所有权注销或变更登记。</w:t>
      </w:r>
    </w:p>
    <w:p w14:paraId="21AAF772">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b w:val="0"/>
          <w:bCs w:val="0"/>
          <w:color w:val="auto"/>
          <w:kern w:val="0"/>
          <w:sz w:val="32"/>
          <w:szCs w:val="32"/>
          <w:lang w:eastAsia="zh-CN" w:bidi="ar"/>
        </w:rPr>
        <w:t>使用土地涉及的耕地占用税等有关税费的收缴或调整，请按有关规定办理</w:t>
      </w:r>
      <w:r>
        <w:rPr>
          <w:rFonts w:hint="eastAsia" w:ascii="仿宋_GB2312" w:hAnsi="仿宋_GB2312" w:eastAsia="仿宋_GB2312" w:cs="仿宋_GB2312"/>
          <w:color w:val="auto"/>
          <w:kern w:val="0"/>
          <w:sz w:val="32"/>
          <w:szCs w:val="32"/>
          <w:highlight w:val="none"/>
          <w:lang w:val="en-US" w:eastAsia="zh-CN" w:bidi="ar"/>
        </w:rPr>
        <w:t>。</w:t>
      </w:r>
    </w:p>
    <w:p w14:paraId="3DA5F37A">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u w:val="none"/>
        </w:rPr>
        <w:t>批后实施情况和</w:t>
      </w:r>
      <w:r>
        <w:rPr>
          <w:rFonts w:hint="eastAsia" w:ascii="仿宋_GB2312" w:hAnsi="仿宋_GB2312" w:eastAsia="仿宋_GB2312" w:cs="仿宋_GB2312"/>
          <w:color w:val="auto"/>
          <w:sz w:val="32"/>
          <w:szCs w:val="32"/>
          <w:highlight w:val="none"/>
        </w:rPr>
        <w:t>具体项目供地情况须按规定报备。</w:t>
      </w:r>
    </w:p>
    <w:p w14:paraId="0CC6F068">
      <w:pPr>
        <w:widowControl/>
        <w:spacing w:line="600" w:lineRule="exact"/>
        <w:textAlignment w:val="baseline"/>
        <w:rPr>
          <w:rFonts w:hint="eastAsia" w:ascii="仿宋_GB2312" w:hAnsi="仿宋_GB2312" w:eastAsia="仿宋_GB2312" w:cs="仿宋_GB2312"/>
          <w:color w:val="auto"/>
          <w:sz w:val="32"/>
          <w:szCs w:val="32"/>
        </w:rPr>
      </w:pPr>
    </w:p>
    <w:p w14:paraId="65786145">
      <w:pPr>
        <w:widowControl/>
        <w:spacing w:line="60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广东省人民政府</w:t>
      </w:r>
    </w:p>
    <w:p w14:paraId="247084E5">
      <w:pPr>
        <w:widowControl/>
        <w:spacing w:line="600" w:lineRule="exact"/>
        <w:ind w:firstLine="645"/>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14:paraId="11B7957D">
      <w:pPr>
        <w:widowControl/>
        <w:spacing w:line="600" w:lineRule="exact"/>
        <w:textAlignment w:val="baseline"/>
        <w:rPr>
          <w:rFonts w:hint="eastAsia" w:eastAsia="仿宋_GB2312"/>
          <w:color w:val="auto"/>
          <w:sz w:val="32"/>
          <w:szCs w:val="32"/>
        </w:rPr>
      </w:pPr>
    </w:p>
    <w:p w14:paraId="24615EB3">
      <w:pPr>
        <w:widowControl/>
        <w:spacing w:line="600" w:lineRule="exact"/>
        <w:textAlignment w:val="baseline"/>
        <w:rPr>
          <w:rFonts w:hint="eastAsia" w:eastAsia="仿宋_GB2312"/>
          <w:color w:val="auto"/>
          <w:sz w:val="32"/>
          <w:szCs w:val="32"/>
        </w:rPr>
      </w:pPr>
    </w:p>
    <w:p w14:paraId="7F51C83F">
      <w:pPr>
        <w:widowControl/>
        <w:spacing w:line="600" w:lineRule="exact"/>
        <w:textAlignment w:val="baseline"/>
        <w:rPr>
          <w:rFonts w:hint="eastAsia" w:eastAsia="仿宋_GB2312"/>
          <w:color w:val="auto"/>
          <w:sz w:val="32"/>
          <w:szCs w:val="32"/>
        </w:rPr>
      </w:pPr>
    </w:p>
    <w:p w14:paraId="1D8FC74C">
      <w:pPr>
        <w:widowControl/>
        <w:spacing w:line="600" w:lineRule="exact"/>
        <w:textAlignment w:val="baseline"/>
        <w:rPr>
          <w:rFonts w:hint="eastAsia" w:eastAsia="仿宋_GB2312"/>
          <w:color w:val="auto"/>
          <w:sz w:val="32"/>
          <w:szCs w:val="32"/>
        </w:rPr>
      </w:pPr>
    </w:p>
    <w:p w14:paraId="7DC06B6D">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14:paraId="0A1E5A8C">
      <w:pPr>
        <w:spacing w:line="560" w:lineRule="exact"/>
        <w:ind w:left="1104" w:leftChars="201" w:hanging="690" w:hangingChars="250"/>
        <w:rPr>
          <w:color w:val="auto"/>
        </w:rPr>
      </w:pPr>
      <w:bookmarkStart w:id="0" w:name="_GoBack"/>
      <w:bookmarkEnd w:id="0"/>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lang w:eastAsia="zh-CN"/>
        </w:rPr>
        <w:t>。</w:t>
      </w: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6CB">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0386C32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CCFB">
    <w:pPr>
      <w:pStyle w:val="2"/>
      <w:framePr w:wrap="around" w:vAnchor="text" w:hAnchor="margin" w:xAlign="outside" w:y="1"/>
      <w:rPr>
        <w:rStyle w:val="5"/>
      </w:rPr>
    </w:pPr>
    <w:r>
      <w:fldChar w:fldCharType="begin"/>
    </w:r>
    <w:r>
      <w:rPr>
        <w:rStyle w:val="5"/>
      </w:rPr>
      <w:instrText xml:space="preserve">PAGE  </w:instrText>
    </w:r>
    <w:r>
      <w:fldChar w:fldCharType="end"/>
    </w:r>
  </w:p>
  <w:p w14:paraId="33422E7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E8"/>
    <w:rsid w:val="007239E8"/>
    <w:rsid w:val="0346238A"/>
    <w:rsid w:val="0C9920D9"/>
    <w:rsid w:val="13236B26"/>
    <w:rsid w:val="15EA2560"/>
    <w:rsid w:val="26AD3E24"/>
    <w:rsid w:val="33935FAE"/>
    <w:rsid w:val="3BBA7AA0"/>
    <w:rsid w:val="44481963"/>
    <w:rsid w:val="483A73C5"/>
    <w:rsid w:val="4F617A2B"/>
    <w:rsid w:val="506F56B2"/>
    <w:rsid w:val="555846C7"/>
    <w:rsid w:val="56A7023F"/>
    <w:rsid w:val="5D293D56"/>
    <w:rsid w:val="6D593268"/>
    <w:rsid w:val="770C5427"/>
    <w:rsid w:val="7BF8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2025-03-24T02:12:00Z</dcterms:created>
  <dc:creator>123</dc:creator>
  <cp:lastModifiedBy>陈湘鹏</cp:lastModifiedBy>
  <dcterms:modified xsi:type="dcterms:W3CDTF">2025-04-01T08:55:51Z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50C58CED391548A2B10BA66E45B58CF7</vt:lpwstr>
  </property>
</Properties>
</file>