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9A291">
      <w:pPr>
        <w:spacing w:line="534" w:lineRule="exact"/>
        <w:jc w:val="center"/>
        <w:rPr>
          <w:rFonts w:ascii="方正小标宋简体" w:hAnsi="方正小标宋简体" w:eastAsia="方正小标宋简体" w:cs="方正小标宋简体"/>
          <w:sz w:val="44"/>
          <w:szCs w:val="44"/>
          <w:lang w:eastAsia="zh-CN"/>
        </w:rPr>
      </w:pPr>
    </w:p>
    <w:p w14:paraId="282A1584">
      <w:pPr>
        <w:spacing w:line="534" w:lineRule="exact"/>
        <w:jc w:val="center"/>
        <w:rPr>
          <w:rFonts w:ascii="方正小标宋简体" w:hAnsi="方正小标宋简体" w:eastAsia="方正小标宋简体" w:cs="方正小标宋简体"/>
          <w:sz w:val="44"/>
          <w:szCs w:val="44"/>
          <w:lang w:eastAsia="zh-CN"/>
        </w:rPr>
      </w:pPr>
    </w:p>
    <w:p w14:paraId="25A6C8C1">
      <w:pPr>
        <w:spacing w:line="534" w:lineRule="exact"/>
        <w:jc w:val="center"/>
        <w:rPr>
          <w:rFonts w:ascii="方正小标宋简体" w:hAnsi="方正小标宋简体" w:eastAsia="方正小标宋简体" w:cs="方正小标宋简体"/>
          <w:sz w:val="44"/>
          <w:szCs w:val="44"/>
          <w:lang w:eastAsia="zh-CN"/>
        </w:rPr>
      </w:pPr>
    </w:p>
    <w:p w14:paraId="1659AF30">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关于广州市花都区2024年度第七十六批次城镇建设用地（体育公园中一地块〔二期〕）的征地补偿安置方案</w:t>
      </w:r>
    </w:p>
    <w:p w14:paraId="678A830F">
      <w:pPr>
        <w:spacing w:before="7"/>
        <w:rPr>
          <w:rFonts w:ascii="Adobe 黑体 Std R" w:hAnsi="Adobe 黑体 Std R" w:eastAsia="Adobe 黑体 Std R" w:cs="Adobe 黑体 Std R"/>
          <w:sz w:val="34"/>
          <w:szCs w:val="34"/>
          <w:lang w:eastAsia="zh-CN"/>
        </w:rPr>
      </w:pPr>
    </w:p>
    <w:p w14:paraId="5A66B1C0">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花城街</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民政府拟征收广州市花都区花城街石岗村上升一经济合作社、上升二经济合作社（共有）属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val="en-US" w:eastAsia="zh-CN"/>
        </w:rPr>
        <w:t>1.6303</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31ECAB8B">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一、征收范围</w:t>
      </w:r>
    </w:p>
    <w:p w14:paraId="705E471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eastAsia" w:ascii="Times New Roman" w:hAnsi="Times New Roman" w:eastAsia="仿宋_GB2312" w:cs="Times New Roman"/>
          <w:sz w:val="32"/>
          <w:szCs w:val="32"/>
          <w:lang w:eastAsia="zh-CN"/>
        </w:rPr>
        <w:t>广州市花都区花城街石岗村上升一经济合作社、上升二经济合作社（共有）</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14:paraId="62B5D516">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二、征收目的</w:t>
      </w:r>
    </w:p>
    <w:p w14:paraId="6CD01DE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目的为，为了公共利益的需要，在国土空间总体规划确定的城镇建设用地范围内，经省级以上人民政府批准由县级以上地方人民政府组织实施的成片开发建设需要用地。</w:t>
      </w:r>
    </w:p>
    <w:p w14:paraId="1EDD4BA6">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66B1CB1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7F8365B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广州市花都区花城街石岗村上升一经济合作社、上升二经济合作社（共有）</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val="en-US" w:eastAsia="zh-CN"/>
        </w:rPr>
        <w:t>1.6303</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24.4545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均为建设用地</w:t>
      </w:r>
      <w:r>
        <w:rPr>
          <w:rFonts w:hint="eastAsia" w:ascii="Times New Roman" w:hAnsi="Times New Roman" w:eastAsia="仿宋_GB2312" w:cs="Times New Roman"/>
          <w:sz w:val="32"/>
          <w:szCs w:val="32"/>
          <w:lang w:val="en-US" w:eastAsia="zh-CN"/>
        </w:rPr>
        <w:t>1.6303</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24.4545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不涉及农用地和未利用地</w:t>
      </w:r>
      <w:r>
        <w:rPr>
          <w:rFonts w:ascii="Times New Roman" w:hAnsi="Times New Roman" w:eastAsia="仿宋_GB2312" w:cs="Times New Roman"/>
          <w:sz w:val="32"/>
          <w:szCs w:val="32"/>
          <w:lang w:eastAsia="zh-CN"/>
        </w:rPr>
        <w:t>。</w:t>
      </w:r>
    </w:p>
    <w:p w14:paraId="3C6969A0">
      <w:pPr>
        <w:pStyle w:val="4"/>
        <w:keepNext w:val="0"/>
        <w:keepLines w:val="0"/>
        <w:pageBreakBefore w:val="0"/>
        <w:widowControl w:val="0"/>
        <w:kinsoku/>
        <w:wordWrap/>
        <w:overflowPunct/>
        <w:topLinePunct w:val="0"/>
        <w:autoSpaceDE/>
        <w:autoSpaceDN/>
        <w:bidi w:val="0"/>
        <w:adjustRightInd/>
        <w:snapToGrid/>
        <w:spacing w:before="0" w:line="58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四、补偿方式和标准</w:t>
      </w:r>
    </w:p>
    <w:p w14:paraId="18434C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40E128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土地补偿标准为1</w:t>
      </w:r>
      <w:r>
        <w:rPr>
          <w:rFonts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eastAsia="zh-CN"/>
        </w:rPr>
        <w:t>万元/公顷，安置补助标准为</w:t>
      </w:r>
      <w:r>
        <w:rPr>
          <w:rFonts w:ascii="Times New Roman" w:hAnsi="Times New Roman" w:eastAsia="仿宋_GB2312" w:cs="Times New Roman"/>
          <w:sz w:val="32"/>
          <w:szCs w:val="32"/>
          <w:lang w:eastAsia="zh-CN"/>
        </w:rPr>
        <w:t>120</w:t>
      </w:r>
      <w:r>
        <w:rPr>
          <w:rFonts w:hint="eastAsia" w:ascii="Times New Roman" w:hAnsi="Times New Roman" w:eastAsia="仿宋_GB2312" w:cs="Times New Roman"/>
          <w:sz w:val="32"/>
          <w:szCs w:val="32"/>
          <w:lang w:eastAsia="zh-CN"/>
        </w:rPr>
        <w:t>万元/公顷。</w:t>
      </w:r>
    </w:p>
    <w:p w14:paraId="62B221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 w:hAnsi="楷体" w:eastAsia="楷体" w:cs="楷体"/>
          <w:sz w:val="32"/>
          <w:szCs w:val="32"/>
          <w:lang w:eastAsia="zh-CN"/>
        </w:rPr>
      </w:pPr>
      <w:r>
        <w:rPr>
          <w:rFonts w:ascii="楷体" w:hAnsi="楷体" w:eastAsia="楷体" w:cs="楷体"/>
          <w:sz w:val="32"/>
          <w:szCs w:val="32"/>
          <w:lang w:eastAsia="zh-CN"/>
        </w:rPr>
        <w:t>（二）农村村民住宅补偿</w:t>
      </w:r>
    </w:p>
    <w:p w14:paraId="22F025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267D1A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1A8542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14:paraId="7E205620">
      <w:pPr>
        <w:pStyle w:val="4"/>
        <w:keepNext w:val="0"/>
        <w:keepLines w:val="0"/>
        <w:pageBreakBefore w:val="0"/>
        <w:widowControl w:val="0"/>
        <w:kinsoku/>
        <w:wordWrap/>
        <w:overflowPunct/>
        <w:topLinePunct w:val="0"/>
        <w:autoSpaceDE/>
        <w:autoSpaceDN/>
        <w:bidi w:val="0"/>
        <w:adjustRightInd/>
        <w:snapToGrid/>
        <w:spacing w:before="0" w:line="580" w:lineRule="exact"/>
        <w:ind w:left="0" w:firstLine="640" w:firstLineChars="200"/>
        <w:jc w:val="both"/>
        <w:textAlignment w:val="auto"/>
        <w:rPr>
          <w:rFonts w:ascii="黑体" w:hAnsi="黑体" w:eastAsia="黑体" w:cs="黑体"/>
          <w:lang w:eastAsia="zh-CN"/>
        </w:rPr>
      </w:pPr>
      <w:r>
        <w:rPr>
          <w:rFonts w:hint="eastAsia" w:ascii="黑体" w:hAnsi="黑体" w:eastAsia="黑体" w:cs="黑体"/>
          <w:lang w:eastAsia="zh-CN"/>
        </w:rPr>
        <w:t>五、安置对象</w:t>
      </w:r>
    </w:p>
    <w:p w14:paraId="3B450C5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37F2AE75">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6F9F9EA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w:t>
      </w:r>
      <w:r>
        <w:rPr>
          <w:rFonts w:hint="default" w:ascii="Times New Roman" w:hAnsi="Times New Roman" w:eastAsia="仿宋_GB2312" w:cs="Times New Roman"/>
          <w:kern w:val="2"/>
          <w:sz w:val="32"/>
          <w:szCs w:val="32"/>
          <w:lang w:val="en-US" w:eastAsia="zh-CN" w:bidi="ar"/>
        </w:rPr>
        <w:t>有关费用已包含在土地补偿费与安置补助费中。</w:t>
      </w:r>
    </w:p>
    <w:p w14:paraId="07480342">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lang w:eastAsia="zh-CN"/>
        </w:rPr>
        <w:t>留用地安置。根据《广东省人民政府办公厅关于加强征收农村集体土地留用地安置管理工作的意见》（粤府办〔2016〕30号）相关规</w:t>
      </w:r>
      <w:bookmarkStart w:id="0" w:name="_GoBack"/>
      <w:bookmarkEnd w:id="0"/>
      <w:r>
        <w:rPr>
          <w:rFonts w:hint="eastAsia" w:ascii="Times New Roman" w:hAnsi="Times New Roman" w:eastAsia="仿宋_GB2312" w:cs="Times New Roman"/>
          <w:sz w:val="32"/>
          <w:szCs w:val="32"/>
          <w:lang w:eastAsia="zh-CN"/>
        </w:rPr>
        <w:t>定，按实际征收土地面积的10%安排留用地，按照实地留地安排留用地。</w:t>
      </w:r>
    </w:p>
    <w:p w14:paraId="156907BE">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lang w:eastAsia="zh-CN"/>
        </w:rPr>
        <w:t>社会保障。该项目征收花城街石岗村土地面积共24.4545亩，根据《广东省人民政府办公厅转发省人力资源社会保障厅关于进一步完善我省被征地农民养老保障政策意见的通知》（粤府办〔2021〕22号）规定，核定该项目按2.14万元/亩标准一次性计提征地社保费共52.34万元，预存入区“收缴被征地农民养老保障资金过渡户”，专款用于被征地农民养老保障。</w:t>
      </w:r>
    </w:p>
    <w:p w14:paraId="55F3FEFE">
      <w:pPr>
        <w:pStyle w:val="4"/>
        <w:spacing w:before="0" w:line="437" w:lineRule="exact"/>
        <w:ind w:left="0" w:right="260"/>
        <w:jc w:val="right"/>
        <w:rPr>
          <w:rFonts w:ascii="仿宋_GB2312" w:hAnsi="仿宋_GB2312" w:eastAsia="仿宋_GB2312" w:cs="仿宋_GB2312"/>
          <w:lang w:eastAsia="zh-CN"/>
        </w:rPr>
      </w:pPr>
    </w:p>
    <w:p w14:paraId="529D357F">
      <w:pPr>
        <w:pStyle w:val="4"/>
        <w:spacing w:before="0" w:line="437" w:lineRule="exact"/>
        <w:ind w:left="0" w:right="260"/>
        <w:jc w:val="right"/>
        <w:rPr>
          <w:rFonts w:ascii="仿宋_GB2312" w:hAnsi="仿宋_GB2312" w:eastAsia="仿宋_GB2312" w:cs="仿宋_GB2312"/>
          <w:lang w:eastAsia="zh-CN"/>
        </w:rPr>
      </w:pPr>
    </w:p>
    <w:p w14:paraId="3A4C378B">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408C2D61">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2</w:t>
      </w:r>
      <w:r>
        <w:rPr>
          <w:rFonts w:ascii="Times New Roman" w:hAnsi="Times New Roman" w:eastAsia="仿宋_GB2312" w:cs="Times New Roman"/>
        </w:rPr>
        <w:t>月</w:t>
      </w:r>
      <w:r>
        <w:rPr>
          <w:rFonts w:hint="eastAsia" w:ascii="Times New Roman" w:hAnsi="Times New Roman" w:eastAsia="仿宋_GB2312" w:cs="Times New Roman"/>
          <w:lang w:val="en-US" w:eastAsia="zh-CN"/>
        </w:rPr>
        <w:t>14</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A87EF">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14505CB">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81350"/>
    <w:rsid w:val="000C21D6"/>
    <w:rsid w:val="000E3907"/>
    <w:rsid w:val="00144336"/>
    <w:rsid w:val="001A0BB8"/>
    <w:rsid w:val="001A1F6A"/>
    <w:rsid w:val="0020273F"/>
    <w:rsid w:val="00243930"/>
    <w:rsid w:val="002A343D"/>
    <w:rsid w:val="002F2545"/>
    <w:rsid w:val="002F3B25"/>
    <w:rsid w:val="00345770"/>
    <w:rsid w:val="00371629"/>
    <w:rsid w:val="0037606F"/>
    <w:rsid w:val="00381EAC"/>
    <w:rsid w:val="003E7E6E"/>
    <w:rsid w:val="004F014A"/>
    <w:rsid w:val="00510062"/>
    <w:rsid w:val="00583581"/>
    <w:rsid w:val="00606DD4"/>
    <w:rsid w:val="006446B9"/>
    <w:rsid w:val="007017B3"/>
    <w:rsid w:val="00812E7C"/>
    <w:rsid w:val="008620FD"/>
    <w:rsid w:val="00890462"/>
    <w:rsid w:val="008C1518"/>
    <w:rsid w:val="008E0F0A"/>
    <w:rsid w:val="008F1446"/>
    <w:rsid w:val="00910F80"/>
    <w:rsid w:val="009462E9"/>
    <w:rsid w:val="00994700"/>
    <w:rsid w:val="009C2DE4"/>
    <w:rsid w:val="00A84FBE"/>
    <w:rsid w:val="00AE0CC4"/>
    <w:rsid w:val="00B55938"/>
    <w:rsid w:val="00B749E6"/>
    <w:rsid w:val="00B95BB3"/>
    <w:rsid w:val="00BD5BBC"/>
    <w:rsid w:val="00C07288"/>
    <w:rsid w:val="00C525F8"/>
    <w:rsid w:val="00C946D4"/>
    <w:rsid w:val="00D229AF"/>
    <w:rsid w:val="00DA4B3C"/>
    <w:rsid w:val="00DC68B8"/>
    <w:rsid w:val="00E56C97"/>
    <w:rsid w:val="00EA0DDD"/>
    <w:rsid w:val="00ED200D"/>
    <w:rsid w:val="00F869B9"/>
    <w:rsid w:val="022A33E1"/>
    <w:rsid w:val="02B47861"/>
    <w:rsid w:val="038E7DC7"/>
    <w:rsid w:val="04654DC4"/>
    <w:rsid w:val="0822151D"/>
    <w:rsid w:val="08682950"/>
    <w:rsid w:val="08D87341"/>
    <w:rsid w:val="0AAF45C2"/>
    <w:rsid w:val="0BC12118"/>
    <w:rsid w:val="0C890300"/>
    <w:rsid w:val="0F064AD5"/>
    <w:rsid w:val="1133035D"/>
    <w:rsid w:val="161B7A15"/>
    <w:rsid w:val="162B00EE"/>
    <w:rsid w:val="16E50DE0"/>
    <w:rsid w:val="17105EE5"/>
    <w:rsid w:val="19977D8A"/>
    <w:rsid w:val="1DBE2748"/>
    <w:rsid w:val="2118544B"/>
    <w:rsid w:val="219E39B8"/>
    <w:rsid w:val="22275D7A"/>
    <w:rsid w:val="24510545"/>
    <w:rsid w:val="25477C36"/>
    <w:rsid w:val="264D6EA8"/>
    <w:rsid w:val="282B3956"/>
    <w:rsid w:val="288A0F78"/>
    <w:rsid w:val="28AE002C"/>
    <w:rsid w:val="296525B4"/>
    <w:rsid w:val="29C73F17"/>
    <w:rsid w:val="2BE439BC"/>
    <w:rsid w:val="2BE83DDD"/>
    <w:rsid w:val="2E262242"/>
    <w:rsid w:val="2F2F33BB"/>
    <w:rsid w:val="310C5C08"/>
    <w:rsid w:val="32F51B26"/>
    <w:rsid w:val="33085EB0"/>
    <w:rsid w:val="342966A0"/>
    <w:rsid w:val="34394804"/>
    <w:rsid w:val="34CC172C"/>
    <w:rsid w:val="378069C4"/>
    <w:rsid w:val="39A42B0C"/>
    <w:rsid w:val="3B8E0546"/>
    <w:rsid w:val="3BFE63CF"/>
    <w:rsid w:val="3CBA3269"/>
    <w:rsid w:val="3D4536F5"/>
    <w:rsid w:val="3EDA07F4"/>
    <w:rsid w:val="44E71197"/>
    <w:rsid w:val="46753A21"/>
    <w:rsid w:val="47EA5951"/>
    <w:rsid w:val="49AA17E5"/>
    <w:rsid w:val="49FC5C1D"/>
    <w:rsid w:val="4D4F0EAF"/>
    <w:rsid w:val="4F536F5C"/>
    <w:rsid w:val="4FDC68BF"/>
    <w:rsid w:val="503713B5"/>
    <w:rsid w:val="505F6CEB"/>
    <w:rsid w:val="51B20896"/>
    <w:rsid w:val="52307478"/>
    <w:rsid w:val="53D675C5"/>
    <w:rsid w:val="54382FF3"/>
    <w:rsid w:val="54E02594"/>
    <w:rsid w:val="56FA52CA"/>
    <w:rsid w:val="58502C4E"/>
    <w:rsid w:val="5AE44879"/>
    <w:rsid w:val="5DD45C6C"/>
    <w:rsid w:val="5EF369C2"/>
    <w:rsid w:val="5F7D66C9"/>
    <w:rsid w:val="5FFD4613"/>
    <w:rsid w:val="622910CE"/>
    <w:rsid w:val="62844552"/>
    <w:rsid w:val="63714235"/>
    <w:rsid w:val="6488303F"/>
    <w:rsid w:val="64B715AC"/>
    <w:rsid w:val="64ED2421"/>
    <w:rsid w:val="671A7149"/>
    <w:rsid w:val="682D49C8"/>
    <w:rsid w:val="68CA7CE3"/>
    <w:rsid w:val="6A906F6A"/>
    <w:rsid w:val="6ADA2DD2"/>
    <w:rsid w:val="6B015D7A"/>
    <w:rsid w:val="6DB30687"/>
    <w:rsid w:val="6F8C3791"/>
    <w:rsid w:val="700A6775"/>
    <w:rsid w:val="708E5910"/>
    <w:rsid w:val="71C65C86"/>
    <w:rsid w:val="744E3CC7"/>
    <w:rsid w:val="7473278D"/>
    <w:rsid w:val="747B57C1"/>
    <w:rsid w:val="75B44CF4"/>
    <w:rsid w:val="768B3F84"/>
    <w:rsid w:val="76910A96"/>
    <w:rsid w:val="776677F4"/>
    <w:rsid w:val="786971C9"/>
    <w:rsid w:val="78EA6370"/>
    <w:rsid w:val="7A3D7256"/>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228</Words>
  <Characters>1304</Characters>
  <Lines>10</Lines>
  <Paragraphs>3</Paragraphs>
  <TotalTime>35</TotalTime>
  <ScaleCrop>false</ScaleCrop>
  <LinksUpToDate>false</LinksUpToDate>
  <CharactersWithSpaces>1529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2025-04-01T03:04:24Z</cp:lastPrinted>
  <dcterms:modified xsi:type="dcterms:W3CDTF">2025-04-01T03:45:45Z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