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76F4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方正小标宋_GBK"/>
          <w:sz w:val="44"/>
          <w:lang w:val="en-US" w:eastAsia="zh-CN"/>
        </w:rPr>
      </w:pPr>
      <w:r>
        <w:rPr>
          <w:rFonts w:hint="eastAsia" w:ascii="Times New Roman" w:hAnsi="Times New Roman" w:eastAsia="方正小标宋_GBK"/>
          <w:sz w:val="44"/>
          <w:lang w:val="en-US" w:eastAsia="zh-CN"/>
        </w:rPr>
        <w:t>花都区支持现代物流与供应链产业</w:t>
      </w:r>
    </w:p>
    <w:p w14:paraId="61860E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方正小标宋_GBK"/>
          <w:sz w:val="44"/>
          <w:lang w:val="en-US" w:eastAsia="zh-CN"/>
        </w:rPr>
      </w:pPr>
      <w:r>
        <w:rPr>
          <w:rFonts w:hint="eastAsia" w:ascii="Times New Roman" w:hAnsi="Times New Roman" w:eastAsia="方正小标宋_GBK"/>
          <w:sz w:val="44"/>
          <w:lang w:val="en-US" w:eastAsia="zh-CN"/>
        </w:rPr>
        <w:t>发展的若干措施</w:t>
      </w:r>
    </w:p>
    <w:p w14:paraId="4E6CCF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（征求意见稿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）</w:t>
      </w:r>
    </w:p>
    <w:p w14:paraId="7F1DEB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方正小标宋_GBK"/>
          <w:sz w:val="44"/>
          <w:lang w:val="en-US" w:eastAsia="zh-CN"/>
        </w:rPr>
      </w:pPr>
    </w:p>
    <w:p w14:paraId="4402C8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40" w:lineRule="exact"/>
        <w:ind w:left="0" w:leftChars="0" w:firstLine="640" w:firstLineChars="200"/>
        <w:jc w:val="both"/>
        <w:textAlignment w:val="baseline"/>
        <w:outlineLvl w:val="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加快推动花都区建成效率最高、成本最低、竞争力强的国际物流和供应链枢纽，充分发挥现代物流业对花都区建设的促进作用，依据《广州市人民政府办公厅关于印发〈广州市进一步支持现代物流与供应链高质量发展的若干措施〉的通知》（穗府办规〔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2025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〕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号），结合我区实际，特制定以下措施。</w:t>
      </w:r>
    </w:p>
    <w:p w14:paraId="48B056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40" w:lineRule="exact"/>
        <w:ind w:left="0" w:leftChars="0" w:firstLine="640" w:firstLineChars="200"/>
        <w:jc w:val="both"/>
        <w:textAlignment w:val="baseline"/>
        <w:outlineLvl w:val="0"/>
        <w:rPr>
          <w:rFonts w:hint="eastAsia" w:ascii="Times New Roman" w:hAnsi="Times New Roman" w:eastAsia="黑体" w:cs="黑体"/>
          <w:color w:val="000000" w:themeColor="text1"/>
          <w:kern w:val="0"/>
          <w:sz w:val="32"/>
          <w:szCs w:val="32"/>
          <w:highlight w:val="none"/>
          <w:u w:val="none" w:color="auto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黑体" w:cs="黑体"/>
          <w:color w:val="000000" w:themeColor="text1"/>
          <w:kern w:val="0"/>
          <w:sz w:val="32"/>
          <w:szCs w:val="32"/>
          <w:highlight w:val="none"/>
          <w:u w:val="none" w:color="auto"/>
          <w:lang w:val="en-US" w:eastAsia="zh-CN" w:bidi="ar-SA"/>
          <w14:textFill>
            <w14:solidFill>
              <w14:schemeClr w14:val="tx1"/>
            </w14:solidFill>
          </w14:textFill>
        </w:rPr>
        <w:t>第一条  适用范围及领域</w:t>
      </w:r>
    </w:p>
    <w:p w14:paraId="4252553F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beforeAutospacing="0" w:afterLines="0" w:afterAutospacing="0" w:line="540" w:lineRule="exact"/>
        <w:ind w:left="0" w:leftChars="0" w:firstLine="640" w:firstLineChars="200"/>
        <w:jc w:val="both"/>
        <w:textAlignment w:val="baseline"/>
        <w:rPr>
          <w:rFonts w:hint="eastAsia" w:ascii="Times New Roman" w:hAnsi="Times New Roman" w:eastAsia="仿宋_GB2312" w:cs="仿宋_GB2312"/>
          <w:color w:val="000000" w:themeColor="text1"/>
          <w:kern w:val="0"/>
          <w:sz w:val="32"/>
          <w:szCs w:val="32"/>
          <w:highlight w:val="none"/>
          <w:u w:val="none" w:color="auto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color w:val="000000" w:themeColor="text1"/>
          <w:kern w:val="0"/>
          <w:sz w:val="32"/>
          <w:szCs w:val="32"/>
          <w:highlight w:val="none"/>
          <w:u w:val="none" w:color="auto"/>
          <w:lang w:val="en-US" w:eastAsia="zh-CN" w:bidi="ar-SA"/>
          <w14:textFill>
            <w14:solidFill>
              <w14:schemeClr w14:val="tx1"/>
            </w14:solidFill>
          </w14:textFill>
        </w:rPr>
        <w:t>本措施适用于已登记注册，依法在花都区内实质从事生产经营活动，具有健全财务制度、具有独立法人资格、实行独立核算、符合信用管理相关规定的现代物流和供应链企业或机构。</w:t>
      </w:r>
    </w:p>
    <w:p w14:paraId="2F67AB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24"/>
          <w:shd w:val="clear" w:fill="FFFFFF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000000" w:themeColor="text1"/>
          <w:kern w:val="0"/>
          <w:sz w:val="32"/>
          <w:szCs w:val="32"/>
          <w:highlight w:val="none"/>
          <w:u w:val="none" w:color="auto"/>
          <w:lang w:val="en-US" w:eastAsia="zh-CN" w:bidi="ar-SA"/>
          <w14:textFill>
            <w14:solidFill>
              <w14:schemeClr w14:val="tx1"/>
            </w14:solidFill>
          </w14:textFill>
        </w:rPr>
        <w:t>本措施重点支持领域主要包括</w:t>
      </w:r>
      <w:r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32"/>
          <w:szCs w:val="32"/>
          <w:highlight w:val="none"/>
          <w:u w:val="none" w:color="auto"/>
          <w:lang w:val="en-US" w:eastAsia="zh-CN"/>
          <w14:textFill>
            <w14:solidFill>
              <w14:schemeClr w14:val="tx1"/>
            </w14:solidFill>
          </w14:textFill>
        </w:rPr>
        <w:t>从事道路运输业、水路运输业、航空运输业、邮政业、多式联运和运输代理业、装卸搬运和仓储业</w:t>
      </w:r>
      <w:r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kern w:val="0"/>
          <w:sz w:val="32"/>
          <w:szCs w:val="32"/>
          <w:highlight w:val="none"/>
          <w:u w:val="none" w:color="auto"/>
          <w:lang w:val="en-US" w:eastAsia="zh-CN"/>
          <w14:textFill>
            <w14:solidFill>
              <w14:schemeClr w14:val="tx1"/>
            </w14:solidFill>
          </w14:textFill>
        </w:rPr>
        <w:t>企业或机构。</w:t>
      </w:r>
    </w:p>
    <w:p w14:paraId="6320EB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24"/>
          <w:shd w:val="clear" w:fill="FFFFFF"/>
          <w:lang w:val="en-US" w:eastAsia="zh-CN"/>
        </w:rPr>
      </w:pPr>
      <w:r>
        <w:rPr>
          <w:rFonts w:hint="eastAsia" w:ascii="Times New Roman" w:hAnsi="Times New Roman" w:eastAsia="黑体" w:cs="黑体"/>
          <w:color w:val="000000" w:themeColor="text1"/>
          <w:kern w:val="0"/>
          <w:sz w:val="32"/>
          <w:szCs w:val="32"/>
          <w:highlight w:val="none"/>
          <w:u w:val="none" w:color="auto"/>
          <w:lang w:val="en-US" w:eastAsia="zh-CN" w:bidi="ar-SA"/>
          <w14:textFill>
            <w14:solidFill>
              <w14:schemeClr w14:val="tx1"/>
            </w14:solidFill>
          </w14:textFill>
        </w:rPr>
        <w:t>第二条  支持重大项目落户</w:t>
      </w:r>
    </w:p>
    <w:p w14:paraId="42474C29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beforeAutospacing="0" w:afterLines="0" w:afterAutospacing="0" w:line="540" w:lineRule="exact"/>
        <w:ind w:left="0" w:leftChars="0" w:firstLine="640" w:firstLineChars="200"/>
        <w:jc w:val="both"/>
        <w:textAlignment w:val="baseline"/>
        <w:rPr>
          <w:rFonts w:hint="eastAsia" w:ascii="Times New Roman" w:hAnsi="Times New Roman" w:eastAsia="仿宋_GB2312" w:cs="仿宋_GB2312"/>
          <w:color w:val="000000" w:themeColor="text1"/>
          <w:kern w:val="0"/>
          <w:sz w:val="32"/>
          <w:szCs w:val="32"/>
          <w:highlight w:val="none"/>
          <w:u w:val="none" w:color="auto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color w:val="000000" w:themeColor="text1"/>
          <w:kern w:val="0"/>
          <w:sz w:val="32"/>
          <w:szCs w:val="32"/>
          <w:highlight w:val="none"/>
          <w:u w:val="none" w:color="auto"/>
          <w:lang w:val="en-US" w:eastAsia="zh-CN" w:bidi="ar-SA"/>
          <w14:textFill>
            <w14:solidFill>
              <w14:schemeClr w14:val="tx1"/>
            </w14:solidFill>
          </w14:textFill>
        </w:rPr>
        <w:t>（一）物流供应链企业实缴注册资本规模在1000万元以上</w:t>
      </w:r>
      <w:r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  <w:highlight w:val="none"/>
          <w:u w:val="none" w:color="auto"/>
          <w:lang w:val="en-US" w:eastAsia="zh-CN" w:bidi="ar-SA"/>
        </w:rPr>
        <w:t>，营收规模年度增长值达到2000万元、3000万元、5000万元的，分别给予不超过20万元、30万元、50万元的一次性奖励。同时在</w:t>
      </w:r>
      <w:r>
        <w:rPr>
          <w:rFonts w:hint="eastAsia" w:ascii="Times New Roman" w:hAnsi="Times New Roman" w:eastAsia="仿宋_GB2312" w:cs="仿宋_GB2312"/>
          <w:color w:val="000000" w:themeColor="text1"/>
          <w:kern w:val="0"/>
          <w:sz w:val="32"/>
          <w:szCs w:val="32"/>
          <w:highlight w:val="none"/>
          <w:u w:val="none" w:color="auto"/>
          <w:lang w:val="en-US" w:eastAsia="zh-CN" w:bidi="ar-SA"/>
          <w14:textFill>
            <w14:solidFill>
              <w14:schemeClr w14:val="tx1"/>
            </w14:solidFill>
          </w14:textFill>
        </w:rPr>
        <w:t>空间保障、场地建设、设备购置、人才引进等方面给予支持。</w:t>
      </w:r>
    </w:p>
    <w:p w14:paraId="57353F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Times New Roman" w:hAnsi="Times New Roman" w:eastAsia="黑体"/>
          <w:sz w:val="32"/>
        </w:rPr>
      </w:pPr>
      <w:r>
        <w:rPr>
          <w:rFonts w:hint="eastAsia" w:ascii="Times New Roman" w:hAnsi="Times New Roman" w:eastAsia="黑体"/>
          <w:sz w:val="32"/>
        </w:rPr>
        <w:t>第三条  推进基础设施建设</w:t>
      </w:r>
    </w:p>
    <w:p w14:paraId="2C3C3F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楷体_GB2312" w:cs="楷体_GB2312"/>
          <w:b w:val="0"/>
          <w:bCs/>
          <w:color w:val="auto"/>
          <w:kern w:val="2"/>
          <w:sz w:val="28"/>
          <w:szCs w:val="28"/>
          <w:highlight w:val="none"/>
          <w:u w:val="none" w:color="auto"/>
          <w:lang w:val="en-US" w:eastAsia="zh-CN" w:bidi="ar"/>
        </w:rPr>
      </w:pPr>
      <w:r>
        <w:rPr>
          <w:rFonts w:hint="eastAsia" w:ascii="Times New Roman" w:hAnsi="Times New Roman" w:eastAsia="楷体_GB2312"/>
          <w:sz w:val="32"/>
          <w:lang w:eastAsia="zh-CN"/>
        </w:rPr>
        <w:t>（</w:t>
      </w:r>
      <w:r>
        <w:rPr>
          <w:rFonts w:hint="eastAsia" w:ascii="Times New Roman" w:hAnsi="Times New Roman" w:eastAsia="楷体_GB2312"/>
          <w:sz w:val="32"/>
          <w:lang w:val="en-US" w:eastAsia="zh-CN"/>
        </w:rPr>
        <w:t>二</w:t>
      </w:r>
      <w:r>
        <w:rPr>
          <w:rFonts w:hint="eastAsia" w:ascii="Times New Roman" w:hAnsi="Times New Roman" w:eastAsia="楷体_GB2312"/>
          <w:sz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</w:rPr>
        <w:t>加快完善集疏运路网</w:t>
      </w:r>
      <w:r>
        <w:rPr>
          <w:rFonts w:hint="eastAsia" w:ascii="Times New Roman" w:hAnsi="Times New Roman" w:eastAsia="楷体_GB2312"/>
          <w:sz w:val="32"/>
          <w:lang w:eastAsia="zh-CN"/>
        </w:rPr>
        <w:t>。</w:t>
      </w:r>
      <w:r>
        <w:rPr>
          <w:rFonts w:hint="eastAsia" w:ascii="Times New Roman" w:hAnsi="Times New Roman" w:eastAsia="仿宋_GB2312" w:cs="仿宋_GB2312"/>
          <w:color w:val="000000" w:themeColor="text1"/>
          <w:kern w:val="0"/>
          <w:sz w:val="32"/>
          <w:szCs w:val="32"/>
          <w:highlight w:val="none"/>
          <w:u w:val="none" w:color="auto"/>
          <w:lang w:val="en-US" w:eastAsia="zh-CN" w:bidi="ar-SA"/>
          <w14:textFill>
            <w14:solidFill>
              <w14:schemeClr w14:val="tx1"/>
            </w14:solidFill>
          </w14:textFill>
        </w:rPr>
        <w:t>完善区内“三横</w:t>
      </w:r>
      <w:r>
        <w:rPr>
          <w:rFonts w:hint="eastAsia" w:ascii="Times New Roman" w:hAnsi="Times New Roman" w:eastAsia="仿宋_GB2312"/>
          <w:sz w:val="32"/>
          <w:lang w:val="en-US" w:eastAsia="zh-CN"/>
        </w:rPr>
        <w:t>六纵”高速网和“七横八纵”城市主骨架路网，实现</w:t>
      </w:r>
      <w:r>
        <w:rPr>
          <w:rFonts w:hint="eastAsia" w:ascii="Times New Roman" w:hAnsi="Times New Roman" w:eastAsia="仿宋_GB2312" w:cs="仿宋_GB2312"/>
          <w:color w:val="000000" w:themeColor="text1"/>
          <w:kern w:val="0"/>
          <w:sz w:val="32"/>
          <w:szCs w:val="32"/>
          <w:highlight w:val="none"/>
          <w:u w:val="none" w:color="auto"/>
          <w:lang w:val="en-US" w:eastAsia="zh-CN" w:bidi="ar-SA"/>
          <w14:textFill>
            <w14:solidFill>
              <w14:schemeClr w14:val="tx1"/>
            </w14:solidFill>
          </w14:textFill>
        </w:rPr>
        <w:t>干支相连的路网建设，</w:t>
      </w:r>
      <w:r>
        <w:rPr>
          <w:rFonts w:hint="eastAsia" w:ascii="Times New Roman" w:hAnsi="Times New Roman" w:eastAsia="仿宋_GB2312"/>
          <w:sz w:val="32"/>
          <w:lang w:val="en-US" w:eastAsia="zh-CN"/>
        </w:rPr>
        <w:t>促使花都加快融入</w:t>
      </w:r>
      <w:r>
        <w:rPr>
          <w:rFonts w:hint="eastAsia" w:ascii="Times New Roman" w:hAnsi="Times New Roman" w:eastAsia="仿宋_GB2312"/>
          <w:color w:val="auto"/>
          <w:sz w:val="32"/>
          <w:lang w:val="en-US" w:eastAsia="zh-CN"/>
        </w:rPr>
        <w:t>广州东部物流大通道</w:t>
      </w:r>
      <w:r>
        <w:rPr>
          <w:rFonts w:hint="eastAsia" w:ascii="Times New Roman" w:hAnsi="Times New Roman" w:eastAsia="仿宋_GB2312"/>
          <w:sz w:val="32"/>
          <w:lang w:val="en-US" w:eastAsia="zh-CN"/>
        </w:rPr>
        <w:t>，加快提升道路运输效率。推进白云国际机场周边交通基础设施优化，促进机场北片区物流车辆快速上下高速疏散货运交通，解决客货分离的问题，畅通提升该片区交通环境。</w:t>
      </w:r>
    </w:p>
    <w:p w14:paraId="58E845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Times New Roman" w:hAnsi="Times New Roman" w:eastAsia="仿宋_GB2312"/>
          <w:sz w:val="32"/>
        </w:rPr>
      </w:pPr>
      <w:r>
        <w:rPr>
          <w:rFonts w:hint="eastAsia" w:ascii="Times New Roman" w:hAnsi="Times New Roman" w:eastAsia="楷体_GB2312"/>
          <w:sz w:val="32"/>
          <w:lang w:eastAsia="zh-CN"/>
        </w:rPr>
        <w:t>（</w:t>
      </w:r>
      <w:r>
        <w:rPr>
          <w:rFonts w:hint="eastAsia" w:ascii="Times New Roman" w:hAnsi="Times New Roman" w:eastAsia="楷体_GB2312"/>
          <w:sz w:val="32"/>
          <w:lang w:val="en-US" w:eastAsia="zh-CN"/>
        </w:rPr>
        <w:t>三</w:t>
      </w:r>
      <w:r>
        <w:rPr>
          <w:rFonts w:hint="eastAsia" w:ascii="Times New Roman" w:hAnsi="Times New Roman" w:eastAsia="楷体_GB2312"/>
          <w:sz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lang w:val="en-US" w:eastAsia="zh-CN"/>
        </w:rPr>
        <w:t>促进物流仓储设施高质量发展。</w:t>
      </w:r>
      <w:r>
        <w:rPr>
          <w:rFonts w:hint="eastAsia" w:ascii="Times New Roman" w:hAnsi="Times New Roman" w:eastAsia="仿宋_GB2312"/>
          <w:sz w:val="32"/>
          <w:lang w:val="en-US" w:eastAsia="zh-CN"/>
        </w:rPr>
        <w:t>鼓励物流仓储园区为中小企业提供专业化仓储设施，为</w:t>
      </w:r>
      <w:r>
        <w:rPr>
          <w:rFonts w:hint="eastAsia" w:ascii="Times New Roman" w:hAnsi="Times New Roman" w:eastAsia="仿宋_GB2312"/>
          <w:sz w:val="32"/>
        </w:rPr>
        <w:t>产业创新研发</w:t>
      </w:r>
      <w:r>
        <w:rPr>
          <w:rFonts w:hint="eastAsia" w:ascii="Times New Roman" w:hAnsi="Times New Roman" w:eastAsia="仿宋_GB2312"/>
          <w:sz w:val="32"/>
          <w:lang w:val="en-US" w:eastAsia="zh-CN"/>
        </w:rPr>
        <w:t>提供</w:t>
      </w:r>
      <w:r>
        <w:rPr>
          <w:rFonts w:hint="eastAsia" w:ascii="Times New Roman" w:hAnsi="Times New Roman" w:eastAsia="仿宋_GB2312"/>
          <w:sz w:val="32"/>
        </w:rPr>
        <w:t>集成式服务。加大高端制造集群专业性设施配套</w:t>
      </w:r>
      <w:r>
        <w:rPr>
          <w:rFonts w:hint="eastAsia" w:ascii="Times New Roman" w:hAnsi="Times New Roman" w:eastAsia="仿宋_GB2312"/>
          <w:sz w:val="32"/>
          <w:lang w:eastAsia="zh-CN"/>
        </w:rPr>
        <w:t>，</w:t>
      </w:r>
      <w:r>
        <w:rPr>
          <w:rFonts w:hint="eastAsia" w:ascii="Times New Roman" w:hAnsi="Times New Roman" w:eastAsia="仿宋_GB2312"/>
          <w:sz w:val="32"/>
        </w:rPr>
        <w:t>充实</w:t>
      </w:r>
      <w:r>
        <w:rPr>
          <w:rFonts w:hint="eastAsia" w:ascii="Times New Roman" w:hAnsi="Times New Roman" w:eastAsia="仿宋_GB2312"/>
          <w:sz w:val="32"/>
          <w:lang w:val="en-US" w:eastAsia="zh-CN"/>
        </w:rPr>
        <w:t>区内</w:t>
      </w:r>
      <w:r>
        <w:rPr>
          <w:rFonts w:hint="eastAsia" w:ascii="Times New Roman" w:hAnsi="Times New Roman" w:eastAsia="仿宋_GB2312"/>
          <w:sz w:val="32"/>
        </w:rPr>
        <w:t>仓储配送网络节点</w:t>
      </w:r>
      <w:r>
        <w:rPr>
          <w:rFonts w:hint="eastAsia" w:ascii="Times New Roman" w:hAnsi="Times New Roman" w:eastAsia="仿宋_GB2312"/>
          <w:sz w:val="32"/>
          <w:lang w:eastAsia="zh-CN"/>
        </w:rPr>
        <w:t>，</w:t>
      </w:r>
      <w:r>
        <w:rPr>
          <w:rFonts w:hint="eastAsia" w:ascii="Times New Roman" w:hAnsi="Times New Roman" w:eastAsia="仿宋_GB2312"/>
          <w:sz w:val="32"/>
        </w:rPr>
        <w:t>加强农产品批发市场冷链设施配套</w:t>
      </w:r>
      <w:r>
        <w:rPr>
          <w:rFonts w:hint="eastAsia" w:ascii="Times New Roman" w:hAnsi="Times New Roman" w:eastAsia="仿宋_GB2312"/>
          <w:sz w:val="32"/>
          <w:lang w:eastAsia="zh-CN"/>
        </w:rPr>
        <w:t>，</w:t>
      </w:r>
      <w:r>
        <w:rPr>
          <w:rFonts w:hint="eastAsia" w:ascii="Times New Roman" w:hAnsi="Times New Roman" w:eastAsia="仿宋_GB2312"/>
          <w:sz w:val="32"/>
        </w:rPr>
        <w:t>推动跨境电商集拼大仓布局建设。</w:t>
      </w:r>
    </w:p>
    <w:p w14:paraId="467DA5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/>
          <w:color w:val="FF0000"/>
          <w:sz w:val="32"/>
          <w:lang w:val="en-US" w:eastAsia="zh-CN"/>
        </w:rPr>
      </w:pPr>
      <w:r>
        <w:rPr>
          <w:rFonts w:hint="eastAsia" w:ascii="Times New Roman" w:hAnsi="Times New Roman" w:eastAsia="楷体_GB2312"/>
          <w:sz w:val="32"/>
          <w:lang w:eastAsia="zh-CN"/>
        </w:rPr>
        <w:t>（</w:t>
      </w:r>
      <w:r>
        <w:rPr>
          <w:rFonts w:hint="eastAsia" w:ascii="Times New Roman" w:hAnsi="Times New Roman" w:eastAsia="楷体_GB2312"/>
          <w:sz w:val="32"/>
          <w:lang w:val="en-US" w:eastAsia="zh-CN"/>
        </w:rPr>
        <w:t>四</w:t>
      </w:r>
      <w:r>
        <w:rPr>
          <w:rFonts w:hint="eastAsia" w:ascii="Times New Roman" w:hAnsi="Times New Roman" w:eastAsia="楷体_GB2312"/>
          <w:sz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lang w:val="en-US" w:eastAsia="zh-CN"/>
        </w:rPr>
        <w:t>提升花都区航空物流枢纽能级。</w:t>
      </w:r>
      <w:r>
        <w:rPr>
          <w:rFonts w:hint="eastAsia" w:ascii="Times New Roman" w:hAnsi="Times New Roman" w:eastAsia="仿宋_GB2312"/>
          <w:sz w:val="32"/>
          <w:lang w:val="en-US" w:eastAsia="zh-CN"/>
        </w:rPr>
        <w:t>支持白云国际机场三期扩建</w:t>
      </w:r>
      <w:r>
        <w:rPr>
          <w:rFonts w:hint="eastAsia" w:ascii="Times New Roman" w:hAnsi="Times New Roman" w:eastAsia="仿宋_GB2312"/>
          <w:color w:val="auto"/>
          <w:sz w:val="32"/>
          <w:lang w:val="en-US" w:eastAsia="zh-CN"/>
        </w:rPr>
        <w:t>工程如期全面投入运营，畅通枢纽货运通道，完善枢纽内外部交通衔接设施，支持优质物流项目优先落户枢纽内。</w:t>
      </w:r>
    </w:p>
    <w:p w14:paraId="7874E8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/>
          <w:sz w:val="32"/>
          <w:lang w:val="en-US" w:eastAsia="zh-CN"/>
        </w:rPr>
      </w:pPr>
      <w:r>
        <w:rPr>
          <w:rFonts w:hint="eastAsia" w:ascii="Times New Roman" w:hAnsi="Times New Roman" w:eastAsia="楷体_GB2312"/>
          <w:sz w:val="32"/>
          <w:lang w:eastAsia="zh-CN"/>
        </w:rPr>
        <w:t>（</w:t>
      </w:r>
      <w:r>
        <w:rPr>
          <w:rFonts w:hint="eastAsia" w:ascii="Times New Roman" w:hAnsi="Times New Roman" w:eastAsia="楷体_GB2312"/>
          <w:sz w:val="32"/>
          <w:lang w:val="en-US" w:eastAsia="zh-CN"/>
        </w:rPr>
        <w:t>五</w:t>
      </w:r>
      <w:r>
        <w:rPr>
          <w:rFonts w:hint="eastAsia" w:ascii="Times New Roman" w:hAnsi="Times New Roman" w:eastAsia="楷体_GB2312"/>
          <w:sz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lang w:val="en-US" w:eastAsia="zh-CN"/>
        </w:rPr>
        <w:t>构建现代化港航物流枢纽。</w:t>
      </w:r>
      <w:r>
        <w:rPr>
          <w:rFonts w:hint="eastAsia" w:ascii="Times New Roman" w:hAnsi="Times New Roman" w:eastAsia="仿宋_GB2312"/>
          <w:sz w:val="32"/>
          <w:lang w:val="en-US" w:eastAsia="zh-CN"/>
        </w:rPr>
        <w:t>支持花都智慧港能力提升工程，完善港口集疏运体系，提升花都区“水运+”多式联运模式基础集疏运能力，推进“花都-南沙”一港通和“花都-蛇口”组合港项目，提升航运通道能级，畅通航运通道。</w:t>
      </w:r>
    </w:p>
    <w:p w14:paraId="2D2A3B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Times New Roman" w:hAnsi="Times New Roman" w:eastAsia="黑体" w:cs="黑体"/>
          <w:color w:val="000000" w:themeColor="text1"/>
          <w:kern w:val="0"/>
          <w:sz w:val="32"/>
          <w:szCs w:val="32"/>
          <w:highlight w:val="none"/>
          <w:u w:val="none" w:color="auto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黑体" w:cs="黑体"/>
          <w:color w:val="000000" w:themeColor="text1"/>
          <w:kern w:val="0"/>
          <w:sz w:val="32"/>
          <w:szCs w:val="32"/>
          <w:highlight w:val="none"/>
          <w:u w:val="none" w:color="auto"/>
          <w:lang w:val="en-US" w:eastAsia="zh-CN" w:bidi="ar-SA"/>
          <w14:textFill>
            <w14:solidFill>
              <w14:schemeClr w14:val="tx1"/>
            </w14:solidFill>
          </w14:textFill>
        </w:rPr>
        <w:t>第四条  支持推广应用场景</w:t>
      </w:r>
    </w:p>
    <w:p w14:paraId="3E1DAA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/>
          <w:sz w:val="32"/>
          <w:lang w:val="en-US" w:eastAsia="zh-CN"/>
        </w:rPr>
      </w:pPr>
      <w:r>
        <w:rPr>
          <w:rFonts w:hint="eastAsia" w:ascii="Times New Roman" w:hAnsi="Times New Roman" w:eastAsia="楷体_GB2312"/>
          <w:sz w:val="32"/>
          <w:lang w:val="en-US" w:eastAsia="zh-CN"/>
        </w:rPr>
        <w:t>（六）支持物流领域氢能应用。</w:t>
      </w:r>
      <w:r>
        <w:rPr>
          <w:rFonts w:hint="eastAsia" w:ascii="Times New Roman" w:hAnsi="Times New Roman" w:eastAsia="仿宋_GB2312"/>
          <w:sz w:val="32"/>
          <w:lang w:val="en-US" w:eastAsia="zh-CN"/>
        </w:rPr>
        <w:t>推进区内加氢站的布局建设，满足物流车辆使用需求，鼓励物流企业开展氢能运输车辆试点运用，新购或更换营运车辆时优先选用氢燃料电池车辆。对在物流、渣土运输等领域开展燃料电池汽车规模应用的企业，按照《花都区支持新能源产业高质量发展的十条措施》有关规定给予补贴。</w:t>
      </w:r>
    </w:p>
    <w:p w14:paraId="40FFEF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Times New Roman" w:hAnsi="Times New Roman" w:eastAsia="仿宋_GB2312"/>
          <w:sz w:val="32"/>
          <w:lang w:val="en-US" w:eastAsia="zh-CN"/>
        </w:rPr>
      </w:pPr>
      <w:r>
        <w:rPr>
          <w:rFonts w:hint="eastAsia" w:ascii="Times New Roman" w:hAnsi="Times New Roman" w:eastAsia="楷体_GB2312"/>
          <w:sz w:val="32"/>
          <w:lang w:val="en-US" w:eastAsia="zh-CN"/>
        </w:rPr>
        <w:t>（七）构建低空物流运行网络。</w:t>
      </w:r>
      <w:r>
        <w:rPr>
          <w:rFonts w:hint="eastAsia" w:ascii="Times New Roman" w:hAnsi="Times New Roman" w:eastAsia="仿宋_GB2312"/>
          <w:sz w:val="32"/>
          <w:lang w:val="en-US" w:eastAsia="zh-CN"/>
        </w:rPr>
        <w:t>鼓励花都区物流企业依托本区国际航空物流枢纽优势，开展低空物流产业，积极申报低空物流航线，对达到航线运营要求，并完成相应飞行架次的，按照《花都区促进低空经济高质量发展若干措施》有关</w:t>
      </w:r>
      <w:r>
        <w:rPr>
          <w:rFonts w:hint="eastAsia" w:ascii="Times New Roman" w:hAnsi="Times New Roman" w:eastAsia="仿宋_GB2312"/>
          <w:color w:val="auto"/>
          <w:sz w:val="32"/>
          <w:lang w:val="en-US" w:eastAsia="zh-CN"/>
        </w:rPr>
        <w:t>规定给予补贴。鼓励企业开发无人机综合管理平台，提供实时任务管理，飞行数据同步，设备与团队管理功能，促进无人机规范飞行，降低作业风险。在满足飞行管控要求及运营安全</w:t>
      </w:r>
      <w:r>
        <w:rPr>
          <w:rFonts w:hint="eastAsia" w:ascii="Times New Roman" w:hAnsi="Times New Roman" w:eastAsia="仿宋_GB2312"/>
          <w:sz w:val="32"/>
          <w:lang w:val="en-US" w:eastAsia="zh-CN"/>
        </w:rPr>
        <w:t>的前提下，鼓励低空物流经营企业在社区、住宅小区、村庄设置无人机接驳柜提供配送末端服务。</w:t>
      </w:r>
    </w:p>
    <w:p w14:paraId="1F362C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Times New Roman" w:hAnsi="Times New Roman" w:eastAsia="仿宋_GB2312"/>
          <w:sz w:val="32"/>
          <w:lang w:val="en-US" w:eastAsia="zh-CN"/>
        </w:rPr>
      </w:pPr>
      <w:r>
        <w:rPr>
          <w:rFonts w:hint="eastAsia" w:ascii="Times New Roman" w:hAnsi="Times New Roman" w:eastAsia="楷体_GB2312"/>
          <w:color w:val="auto"/>
          <w:sz w:val="32"/>
          <w:lang w:val="en-US" w:eastAsia="zh-CN"/>
        </w:rPr>
        <w:t>（八）支持智能网联汽车创新应用。</w:t>
      </w:r>
      <w:r>
        <w:rPr>
          <w:rFonts w:hint="eastAsia" w:ascii="Times New Roman" w:hAnsi="Times New Roman" w:eastAsia="仿宋_GB2312"/>
          <w:sz w:val="32"/>
          <w:lang w:val="en-US" w:eastAsia="zh-CN"/>
        </w:rPr>
        <w:t>推进智能网联汽车道路测试、示范应用在物流领域推广，鼓励具备相关资质的企业逐步开展货运、寄递、外卖等无人装备的测试应用，并在此基础上有序开展示范运营、商业运营和其他规模化应用活动。</w:t>
      </w:r>
    </w:p>
    <w:p w14:paraId="520017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Times New Roman" w:hAnsi="Times New Roman" w:eastAsia="黑体" w:cs="黑体"/>
          <w:color w:val="000000" w:themeColor="text1"/>
          <w:kern w:val="0"/>
          <w:sz w:val="32"/>
          <w:szCs w:val="32"/>
          <w:highlight w:val="none"/>
          <w:u w:val="none" w:color="auto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黑体" w:cs="黑体"/>
          <w:color w:val="000000" w:themeColor="text1"/>
          <w:kern w:val="0"/>
          <w:sz w:val="32"/>
          <w:szCs w:val="32"/>
          <w:highlight w:val="none"/>
          <w:u w:val="none" w:color="auto"/>
          <w:lang w:val="en-US" w:eastAsia="zh-CN" w:bidi="ar-SA"/>
          <w14:textFill>
            <w14:solidFill>
              <w14:schemeClr w14:val="tx1"/>
            </w14:solidFill>
          </w14:textFill>
        </w:rPr>
        <w:t>第五条  强化人才队伍建设</w:t>
      </w:r>
    </w:p>
    <w:p w14:paraId="112845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eastAsia="仿宋_GB2312" w:asciiTheme="minorHAnsi" w:hAnsiTheme="minorHAnsi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楷体_GB2312"/>
          <w:sz w:val="32"/>
          <w:lang w:val="en-US" w:eastAsia="zh-CN"/>
        </w:rPr>
        <w:t>（九）高层次人才引进。</w:t>
      </w:r>
      <w:r>
        <w:rPr>
          <w:rFonts w:hint="eastAsia" w:eastAsia="仿宋_GB2312"/>
          <w:sz w:val="32"/>
          <w:szCs w:val="32"/>
          <w:lang w:val="en-US" w:eastAsia="zh-CN"/>
        </w:rPr>
        <w:t>结合花都区的区域产业特色（如空港物流、智慧冷链、汽车供应链等），通过柔性引进等方式，吸引一批兼具企业高管与教育推动者双重身份、拥有丰富的现代物流与供应链产业资源和专业经验的高层次人才，为花都物流产业的创新发展提供智力支持。</w:t>
      </w:r>
      <w:r>
        <w:rPr>
          <w:rFonts w:hint="eastAsia" w:eastAsia="仿宋_GB2312" w:asciiTheme="minorHAnsi" w:hAnsiTheme="minorHAnsi" w:cstheme="minorBidi"/>
          <w:kern w:val="2"/>
          <w:sz w:val="32"/>
          <w:szCs w:val="32"/>
          <w:lang w:val="en-US" w:eastAsia="zh-CN" w:bidi="ar-SA"/>
        </w:rPr>
        <w:t>对经认定的物流业高层次人才根据《花都区亲商助企若干措施》发放人才贡献奖励，帮助现代物流和供应链产业的高层次人才解除子女上学、家属就业、住房等后顾之忧。</w:t>
      </w:r>
    </w:p>
    <w:p w14:paraId="0ABD79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Times New Roman" w:hAnsi="Times New Roman" w:eastAsia="黑体" w:cs="黑体"/>
          <w:color w:val="000000" w:themeColor="text1"/>
          <w:kern w:val="0"/>
          <w:sz w:val="32"/>
          <w:szCs w:val="32"/>
          <w:highlight w:val="none"/>
          <w:u w:val="none" w:color="auto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黑体" w:cs="黑体"/>
          <w:color w:val="000000" w:themeColor="text1"/>
          <w:kern w:val="0"/>
          <w:sz w:val="32"/>
          <w:szCs w:val="32"/>
          <w:highlight w:val="none"/>
          <w:u w:val="none" w:color="auto"/>
          <w:lang w:val="en-US" w:eastAsia="zh-CN" w:bidi="ar-SA"/>
          <w14:textFill>
            <w14:solidFill>
              <w14:schemeClr w14:val="tx1"/>
            </w14:solidFill>
          </w14:textFill>
        </w:rPr>
        <w:t>第六条 加强资金鼓励支持</w:t>
      </w:r>
    </w:p>
    <w:p w14:paraId="1B5497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/>
          <w:sz w:val="32"/>
          <w:lang w:val="en-US" w:eastAsia="zh-CN"/>
        </w:rPr>
        <w:t>（十）支持企业做大做强。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val="en-US" w:eastAsia="zh-CN"/>
        </w:rPr>
        <w:t>对于首次获评5A级、4A级物流企业的分别给予5万元、3万元一次性奖励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。支持物流与供应链服务企业申报高新技术企业、优质中小企业梯度培育企业。</w:t>
      </w:r>
    </w:p>
    <w:p w14:paraId="176BA9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/>
          <w:sz w:val="32"/>
          <w:lang w:val="en-US" w:eastAsia="zh-CN"/>
        </w:rPr>
        <w:t>（十一）鼓励航空货运产业发展</w:t>
      </w:r>
      <w:r>
        <w:rPr>
          <w:rFonts w:hint="eastAsia" w:ascii="Times New Roman" w:hAnsi="Times New Roman" w:eastAsia="楷体_GB2312"/>
          <w:color w:val="auto"/>
          <w:sz w:val="32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大力引进基地航空货运公司、综合物流集成商、货代公司，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大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力引进培养全货机基地航空公司，对基地航空货运企业在广州白云国际机场新增投放运营全货机、依托广州白云国际机场新开通全货机航线的，按照《花都区促进航空产业高质量发展若干措施》给予基地航空货运企业增量补贴及国际国内货运航线补贴。</w:t>
      </w:r>
    </w:p>
    <w:p w14:paraId="7B622C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/>
          <w:sz w:val="32"/>
          <w:lang w:val="en-US" w:eastAsia="zh-CN"/>
        </w:rPr>
        <w:t>（十二）拓展港口航运能力。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鼓励直拖南沙、深圳等港口进出口的客户回流花都港出口，促进花都港外贸集装箱吞吐量持续增长。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val="en-US" w:eastAsia="zh-CN"/>
        </w:rPr>
        <w:t>设立外贸客户集装箱增量奖。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根据外贸集装箱吞吐量的实际增量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对年度实现外贸集装箱吞吐量超过1万标准箱的水上运输企业，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对其新增部分按每标准箱给予25元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的奖励，全区年度奖励总额不高于50万元。</w:t>
      </w:r>
    </w:p>
    <w:p w14:paraId="753EB8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/>
          <w:sz w:val="32"/>
          <w:lang w:val="en-US" w:eastAsia="zh-CN"/>
        </w:rPr>
        <w:t>（十三）支持现代物流与供应链智能化升级。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val="en-US" w:eastAsia="zh-CN"/>
        </w:rPr>
        <w:t>支持建设交通物流、产业融合的基础性、功能性现代物流与供应链公共服务平台。鼓励市场主体开展供应链管理、仓储物流、智慧港口、智慧监管等智能化提升，对纳入国家、省试点、示范工程的平台或项目，在《广州市进一步支持现代物流与供应链高质量发展的若干措施》规定金额基础上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增加平台建设或项目智能化年度投资额的5%给予资金奖励，全区年度奖励总额不高于50万元。</w:t>
      </w:r>
    </w:p>
    <w:p w14:paraId="19F27F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楷体_GB2312"/>
          <w:sz w:val="32"/>
          <w:lang w:val="en-US" w:eastAsia="zh-CN"/>
        </w:rPr>
        <w:t>（十四）支持冷链物流服务能力提升。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val="en-US" w:eastAsia="zh-CN"/>
        </w:rPr>
        <w:t>鼓励规划建设产销冷链集配中心、两端冷链设施及重大冷链产业园区或枢纽中心。在有序用电状态下保障重点恒温库、冷藏库实际用电需求。支持在农村建设的保鲜仓储设施用电执行农业生产电价。申报国家骨干冷链物流基地、农产品骨干冷链物流基地的，在《广州市进一步支持现代物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流与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供应链高质量发展的若干措施》规定金额基础上额外奖励获批运营主体，给予一次性奖励15万元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。</w:t>
      </w:r>
    </w:p>
    <w:p w14:paraId="312E70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黑体"/>
          <w:color w:val="000000" w:themeColor="text1"/>
          <w:kern w:val="0"/>
          <w:sz w:val="32"/>
          <w:szCs w:val="32"/>
          <w:highlight w:val="none"/>
          <w:u w:val="none" w:color="auto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黑体" w:cs="黑体"/>
          <w:color w:val="000000" w:themeColor="text1"/>
          <w:kern w:val="0"/>
          <w:sz w:val="32"/>
          <w:szCs w:val="32"/>
          <w:highlight w:val="none"/>
          <w:u w:val="none" w:color="auto"/>
          <w:lang w:val="en-US" w:eastAsia="zh-CN" w:bidi="ar-SA"/>
          <w14:textFill>
            <w14:solidFill>
              <w14:schemeClr w14:val="tx1"/>
            </w14:solidFill>
          </w14:textFill>
        </w:rPr>
        <w:t>第七条  加强土地要素保障</w:t>
      </w:r>
    </w:p>
    <w:p w14:paraId="267F01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/>
          <w:sz w:val="32"/>
          <w:lang w:val="en-US" w:eastAsia="zh-CN"/>
        </w:rPr>
        <w:t>（十五）完善项目用地保障。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val="en-US" w:eastAsia="zh-CN"/>
        </w:rPr>
        <w:t>支持物流枢纽范围内的物流设施项目，优先纳入年度土地供应计划予以保障，鼓励通过弹性年期出让、先租后让、租让结合等方式供应现代物流与供应链产业用地。在符合规划、不改变用途和自用的前提下，对提高自有工业用地或仓储用地利用率、容积率并用于仓储、分拨转运等现代物流设施建设的，不再增收土地价款。支持区物流枢纽范围内投资额10亿元以上的现代物流与供应链产业项目采用50年出让年期。</w:t>
      </w:r>
    </w:p>
    <w:p w14:paraId="7477E3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/>
          <w:sz w:val="32"/>
          <w:lang w:val="en-US" w:eastAsia="zh-CN"/>
        </w:rPr>
        <w:t>（十六）优化审批服务流程。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落实《花都区亲商助企若干措施》有关企业落地降本提速条款，推进“跨部门多证联办”；提前介入，提供保姆式全程帮办代办服务，推动带方案出让项目“五证联办”，助力项目快速落地报建，实现物流产业用地项目“拿地即动工”；开设“政策兑现”服务专窗，实现政策兑现“一窗受理、内部流转、限时办结”，通过开展全程免费代办服务，加快物流产业项目审批效率。</w:t>
      </w:r>
    </w:p>
    <w:p w14:paraId="3DE403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本措施自发布之日起施行，有效期3年。本措施实施期间，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所含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条款若有重复包含的、与区内其他产业政策有重复交叉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的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或支持事项为同一类型的，按照“从高不重复”的原则执行。若相关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法律法规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、规章或上级政策调整变化的，从其规定。</w:t>
      </w:r>
    </w:p>
    <w:sectPr>
      <w:footerReference r:id="rId3" w:type="default"/>
      <w:pgSz w:w="11906" w:h="16838"/>
      <w:pgMar w:top="2098" w:right="1587" w:bottom="198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AF3F21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5A730CB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5A730CB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5855BB"/>
    <w:rsid w:val="08690330"/>
    <w:rsid w:val="0CE66836"/>
    <w:rsid w:val="0D2327EE"/>
    <w:rsid w:val="17F55111"/>
    <w:rsid w:val="1DA41CBF"/>
    <w:rsid w:val="214B268F"/>
    <w:rsid w:val="216B432D"/>
    <w:rsid w:val="23EC3E97"/>
    <w:rsid w:val="24241A9A"/>
    <w:rsid w:val="248D6D09"/>
    <w:rsid w:val="295855BB"/>
    <w:rsid w:val="2D003462"/>
    <w:rsid w:val="2FEB7AEC"/>
    <w:rsid w:val="3716217A"/>
    <w:rsid w:val="41B911AA"/>
    <w:rsid w:val="42F609E7"/>
    <w:rsid w:val="43DB12B0"/>
    <w:rsid w:val="48521F73"/>
    <w:rsid w:val="4A924F66"/>
    <w:rsid w:val="539438E7"/>
    <w:rsid w:val="581C508C"/>
    <w:rsid w:val="5DB6227A"/>
    <w:rsid w:val="5E55562A"/>
    <w:rsid w:val="637846F9"/>
    <w:rsid w:val="6C731DDC"/>
    <w:rsid w:val="6CC71613"/>
    <w:rsid w:val="728D465F"/>
    <w:rsid w:val="786F4CFF"/>
    <w:rsid w:val="7B0B2E6E"/>
    <w:rsid w:val="7E7963DA"/>
    <w:rsid w:val="7EE14EB8"/>
    <w:rsid w:val="7F1A3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42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unhideWhenUsed/>
    <w:qFormat/>
    <w:uiPriority w:val="0"/>
    <w:pPr>
      <w:spacing w:beforeLines="0" w:beforeAutospacing="1" w:afterLines="0" w:afterAutospacing="1"/>
      <w:jc w:val="left"/>
    </w:pPr>
    <w:rPr>
      <w:rFonts w:hint="default"/>
      <w:kern w:val="0"/>
      <w:sz w:val="24"/>
      <w:szCs w:val="24"/>
    </w:r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区交通局</Company>
  <Pages>6</Pages>
  <Words>2834</Words>
  <Characters>2861</Characters>
  <Lines>0</Lines>
  <Paragraphs>0</Paragraphs>
  <TotalTime>7</TotalTime>
  <ScaleCrop>false</ScaleCrop>
  <LinksUpToDate>false</LinksUpToDate>
  <CharactersWithSpaces>2874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2025-05-13T01:42:00Z</dcterms:created>
  <dc:creator>纸盒</dc:creator>
  <cp:lastModifiedBy>时涛</cp:lastModifiedBy>
  <cp:lastPrinted>2025-05-16T06:01:00Z</cp:lastPrinted>
  <dcterms:modified xsi:type="dcterms:W3CDTF">2025-06-11T03:36:55Z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9F6E3190F5E046D59FEA64F9F160253A_13</vt:lpwstr>
  </property>
  <property fmtid="{D5CDD505-2E9C-101B-9397-08002B2CF9AE}" pid="4" name="KSOTemplateDocerSaveRecord">
    <vt:lpwstr>eyJoZGlkIjoiMzE4OTMzZmNkZjZjZWQ3NzQ0MzcwMzRhMDkzZDM1NTciLCJ1c2VySWQiOiI0MDA2Nzk3MDIifQ==</vt:lpwstr>
  </property>
</Properties>
</file>