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393E0">
      <w:pPr>
        <w:spacing w:line="520" w:lineRule="exact"/>
        <w:jc w:val="left"/>
        <w:rPr>
          <w:rFonts w:ascii="仿宋_GB2312" w:hAnsi="黑体" w:eastAsia="仿宋_GB2312" w:cs="黑体"/>
          <w:sz w:val="32"/>
          <w:szCs w:val="32"/>
        </w:rPr>
      </w:pPr>
    </w:p>
    <w:p w14:paraId="5D314391">
      <w:pPr>
        <w:spacing w:line="560" w:lineRule="exact"/>
        <w:ind w:left="-178" w:leftChars="-85" w:right="-153" w:rightChars="-73"/>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广州市花都区</w:t>
      </w:r>
      <w:r>
        <w:rPr>
          <w:rFonts w:hint="eastAsia" w:ascii="方正小标宋简体" w:hAnsi="方正小标宋简体" w:eastAsia="方正小标宋简体" w:cs="方正小标宋简体"/>
          <w:b w:val="0"/>
          <w:bCs/>
          <w:sz w:val="44"/>
          <w:szCs w:val="44"/>
          <w:lang w:val="en-US" w:eastAsia="zh-CN"/>
        </w:rPr>
        <w:t>财政局2024</w:t>
      </w:r>
      <w:r>
        <w:rPr>
          <w:rFonts w:hint="eastAsia" w:ascii="方正小标宋简体" w:hAnsi="方正小标宋简体" w:eastAsia="方正小标宋简体" w:cs="方正小标宋简体"/>
          <w:b w:val="0"/>
          <w:bCs/>
          <w:sz w:val="44"/>
          <w:szCs w:val="44"/>
        </w:rPr>
        <w:t>年度行政许可实施和监督管理情况报告</w:t>
      </w:r>
    </w:p>
    <w:p w14:paraId="2BDF47FC">
      <w:pPr>
        <w:spacing w:line="540" w:lineRule="exact"/>
        <w:ind w:firstLine="640" w:firstLineChars="200"/>
        <w:rPr>
          <w:rFonts w:hint="eastAsia" w:ascii="方正小标宋简体" w:hAnsi="方正小标宋简体" w:eastAsia="方正小标宋简体" w:cs="方正小标宋简体"/>
          <w:b w:val="0"/>
          <w:bCs/>
          <w:sz w:val="32"/>
          <w:szCs w:val="32"/>
        </w:rPr>
      </w:pPr>
    </w:p>
    <w:p w14:paraId="62CD12C8">
      <w:pPr>
        <w:spacing w:line="54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lang w:val="en-US" w:eastAsia="zh-CN"/>
        </w:rPr>
        <w:t>广东省行政许可监督管理条例</w:t>
      </w:r>
      <w:r>
        <w:rPr>
          <w:rFonts w:ascii="仿宋_GB2312" w:eastAsia="仿宋_GB2312"/>
          <w:sz w:val="32"/>
          <w:szCs w:val="32"/>
        </w:rPr>
        <w:t>》</w:t>
      </w:r>
      <w:r>
        <w:rPr>
          <w:rFonts w:hint="eastAsia" w:ascii="仿宋_GB2312" w:eastAsia="仿宋_GB2312"/>
          <w:sz w:val="32"/>
          <w:szCs w:val="32"/>
          <w:lang w:val="en-US" w:eastAsia="zh-CN"/>
        </w:rPr>
        <w:t>的</w:t>
      </w:r>
      <w:r>
        <w:rPr>
          <w:rFonts w:hint="eastAsia" w:ascii="仿宋_GB2312" w:eastAsia="仿宋_GB2312"/>
          <w:sz w:val="32"/>
          <w:szCs w:val="32"/>
        </w:rPr>
        <w:t>要求，现将我单位</w:t>
      </w:r>
      <w:r>
        <w:rPr>
          <w:rFonts w:hint="eastAsia" w:ascii="仿宋_GB2312" w:eastAsia="仿宋_GB2312"/>
          <w:sz w:val="32"/>
          <w:szCs w:val="32"/>
          <w:lang w:val="en-US" w:eastAsia="zh-CN"/>
        </w:rPr>
        <w:t>2024</w:t>
      </w:r>
      <w:r>
        <w:rPr>
          <w:rFonts w:hint="eastAsia" w:ascii="仿宋_GB2312" w:eastAsia="仿宋_GB2312"/>
          <w:sz w:val="32"/>
          <w:szCs w:val="32"/>
        </w:rPr>
        <w:t>年行政许可实施和监督管理情况报告如下：</w:t>
      </w:r>
    </w:p>
    <w:p w14:paraId="76CC2B74">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14:paraId="70AC46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0" w:lineRule="exact"/>
        <w:ind w:left="0" w:right="0" w:firstLine="640" w:firstLineChars="200"/>
        <w:jc w:val="both"/>
        <w:textAlignment w:val="auto"/>
        <w:rPr>
          <w:rFonts w:ascii="仿宋_GB2312" w:eastAsia="仿宋_GB2312"/>
          <w:sz w:val="32"/>
          <w:szCs w:val="32"/>
        </w:rPr>
      </w:pPr>
      <w:r>
        <w:rPr>
          <w:rFonts w:hint="eastAsia" w:ascii="仿宋_GB2312" w:hAnsi="仿宋" w:eastAsia="仿宋_GB2312"/>
          <w:sz w:val="32"/>
          <w:szCs w:val="32"/>
          <w:lang w:val="en-US" w:eastAsia="zh-CN"/>
        </w:rPr>
        <w:t>2024年，</w:t>
      </w:r>
      <w:r>
        <w:rPr>
          <w:rFonts w:hint="eastAsia" w:ascii="仿宋_GB2312" w:hAnsi="仿宋" w:eastAsia="仿宋_GB2312"/>
          <w:sz w:val="32"/>
          <w:szCs w:val="32"/>
        </w:rPr>
        <w:t>我局共有1项行政审批事项</w:t>
      </w:r>
      <w:r>
        <w:rPr>
          <w:rFonts w:hint="eastAsia" w:ascii="仿宋_GB2312" w:hAnsi="仿宋" w:eastAsia="仿宋_GB2312"/>
          <w:sz w:val="32"/>
          <w:szCs w:val="32"/>
          <w:lang w:eastAsia="zh-CN"/>
        </w:rPr>
        <w:t>，</w:t>
      </w:r>
      <w:r>
        <w:rPr>
          <w:rFonts w:hint="eastAsia" w:ascii="仿宋_GB2312" w:hAnsi="Times New Roman" w:eastAsia="仿宋_GB2312" w:cs="仿宋_GB2312"/>
          <w:kern w:val="2"/>
          <w:sz w:val="32"/>
          <w:szCs w:val="32"/>
          <w:lang w:val="en-US" w:eastAsia="zh-CN" w:bidi="ar"/>
        </w:rPr>
        <w:t>即</w:t>
      </w:r>
      <w:r>
        <w:rPr>
          <w:rFonts w:hint="default" w:ascii="仿宋_GB2312" w:hAnsi="Times New Roman" w:eastAsia="仿宋_GB2312" w:cs="仿宋_GB2312"/>
          <w:kern w:val="2"/>
          <w:sz w:val="32"/>
          <w:szCs w:val="32"/>
          <w:lang w:val="en-US" w:eastAsia="zh-CN" w:bidi="ar"/>
        </w:rPr>
        <w:t>中介机构从事代理记账业务审批</w:t>
      </w:r>
      <w:r>
        <w:rPr>
          <w:rFonts w:hint="eastAsia" w:ascii="仿宋_GB2312" w:hAnsi="Times New Roman" w:eastAsia="仿宋_GB2312" w:cs="仿宋_GB2312"/>
          <w:kern w:val="2"/>
          <w:sz w:val="32"/>
          <w:szCs w:val="32"/>
          <w:lang w:val="en-US" w:eastAsia="zh-CN" w:bidi="ar"/>
        </w:rPr>
        <w:t>。该</w:t>
      </w:r>
      <w:r>
        <w:rPr>
          <w:rFonts w:hint="eastAsia" w:ascii="仿宋_GB2312" w:hAnsi="仿宋" w:eastAsia="仿宋_GB2312"/>
          <w:sz w:val="32"/>
          <w:szCs w:val="32"/>
        </w:rPr>
        <w:t>审批事项纳入广州市</w:t>
      </w:r>
      <w:r>
        <w:rPr>
          <w:rFonts w:hint="eastAsia" w:ascii="仿宋_GB2312" w:hAnsi="仿宋" w:eastAsia="仿宋_GB2312"/>
          <w:sz w:val="32"/>
          <w:szCs w:val="32"/>
          <w:lang w:val="en-US" w:eastAsia="zh-CN"/>
        </w:rPr>
        <w:t>花都区行政许可</w:t>
      </w:r>
      <w:r>
        <w:rPr>
          <w:rFonts w:hint="eastAsia" w:ascii="仿宋_GB2312" w:hAnsi="仿宋" w:eastAsia="仿宋_GB2312"/>
          <w:sz w:val="32"/>
          <w:szCs w:val="32"/>
        </w:rPr>
        <w:t>事项目录</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其中202</w:t>
      </w:r>
      <w:r>
        <w:rPr>
          <w:rFonts w:hint="eastAsia" w:ascii="仿宋_GB2312" w:eastAsia="仿宋_GB2312" w:cs="仿宋_GB2312"/>
          <w:kern w:val="2"/>
          <w:sz w:val="32"/>
          <w:szCs w:val="32"/>
          <w:lang w:val="en-US" w:eastAsia="zh-CN" w:bidi="ar"/>
        </w:rPr>
        <w:t>4</w:t>
      </w:r>
      <w:r>
        <w:rPr>
          <w:rFonts w:hint="default" w:ascii="仿宋_GB2312" w:hAnsi="Times New Roman" w:eastAsia="仿宋_GB2312" w:cs="仿宋_GB2312"/>
          <w:kern w:val="2"/>
          <w:sz w:val="32"/>
          <w:szCs w:val="32"/>
          <w:lang w:val="en-US" w:eastAsia="zh-CN" w:bidi="ar"/>
        </w:rPr>
        <w:t>年度保留事项</w:t>
      </w:r>
      <w:r>
        <w:rPr>
          <w:rFonts w:hint="eastAsia" w:ascii="仿宋_GB2312" w:hAnsi="Times New Roman" w:eastAsia="仿宋_GB2312" w:cs="仿宋_GB2312"/>
          <w:kern w:val="2"/>
          <w:sz w:val="32"/>
          <w:szCs w:val="32"/>
          <w:lang w:val="en-US" w:eastAsia="zh-CN" w:bidi="ar"/>
        </w:rPr>
        <w:t>1项</w:t>
      </w:r>
      <w:r>
        <w:rPr>
          <w:rFonts w:hint="default" w:ascii="仿宋_GB2312" w:hAnsi="Times New Roman" w:eastAsia="仿宋_GB2312" w:cs="仿宋_GB2312"/>
          <w:kern w:val="2"/>
          <w:sz w:val="32"/>
          <w:szCs w:val="32"/>
          <w:lang w:val="en-US" w:eastAsia="zh-CN" w:bidi="ar"/>
        </w:rPr>
        <w:t>，已进驻广东省政务服务事项管理系统</w:t>
      </w:r>
      <w:r>
        <w:rPr>
          <w:rFonts w:hint="eastAsia" w:ascii="仿宋_GB2312" w:hAnsi="Times New Roman" w:eastAsia="仿宋_GB2312" w:cs="仿宋_GB2312"/>
          <w:kern w:val="2"/>
          <w:sz w:val="32"/>
          <w:szCs w:val="32"/>
          <w:lang w:val="en-US" w:eastAsia="zh-CN" w:bidi="ar"/>
        </w:rPr>
        <w:t>1项，进驻率100%</w:t>
      </w:r>
      <w:r>
        <w:rPr>
          <w:rFonts w:hint="default" w:ascii="仿宋_GB2312" w:hAnsi="Times New Roman" w:eastAsia="仿宋_GB2312" w:cs="仿宋_GB2312"/>
          <w:kern w:val="2"/>
          <w:sz w:val="32"/>
          <w:szCs w:val="32"/>
          <w:lang w:val="en-US" w:eastAsia="zh-CN" w:bidi="ar"/>
        </w:rPr>
        <w:t>；行政许可申请</w:t>
      </w:r>
      <w:r>
        <w:rPr>
          <w:rFonts w:hint="eastAsia" w:ascii="仿宋_GB2312" w:eastAsia="仿宋_GB2312" w:cs="仿宋_GB2312"/>
          <w:kern w:val="2"/>
          <w:sz w:val="32"/>
          <w:szCs w:val="32"/>
          <w:lang w:val="en-US" w:eastAsia="zh-CN" w:bidi="ar"/>
        </w:rPr>
        <w:t>28</w:t>
      </w:r>
      <w:r>
        <w:rPr>
          <w:rFonts w:hint="eastAsia" w:ascii="仿宋_GB2312" w:hAnsi="Times New Roman" w:eastAsia="仿宋_GB2312" w:cs="仿宋_GB2312"/>
          <w:kern w:val="2"/>
          <w:sz w:val="32"/>
          <w:szCs w:val="32"/>
          <w:lang w:val="en-US" w:eastAsia="zh-CN" w:bidi="ar"/>
        </w:rPr>
        <w:t>宗</w:t>
      </w:r>
      <w:r>
        <w:rPr>
          <w:rFonts w:hint="default" w:ascii="仿宋_GB2312" w:hAnsi="Times New Roman" w:eastAsia="仿宋_GB2312" w:cs="仿宋_GB2312"/>
          <w:kern w:val="2"/>
          <w:sz w:val="32"/>
          <w:szCs w:val="32"/>
          <w:lang w:val="en-US" w:eastAsia="zh-CN" w:bidi="ar"/>
        </w:rPr>
        <w:t>，其中受理量</w:t>
      </w:r>
      <w:r>
        <w:rPr>
          <w:rFonts w:hint="eastAsia" w:ascii="仿宋_GB2312" w:eastAsia="仿宋_GB2312" w:cs="仿宋_GB2312"/>
          <w:kern w:val="2"/>
          <w:sz w:val="32"/>
          <w:szCs w:val="32"/>
          <w:lang w:val="en-US" w:eastAsia="zh-CN" w:bidi="ar"/>
        </w:rPr>
        <w:t>28</w:t>
      </w:r>
      <w:r>
        <w:rPr>
          <w:rFonts w:hint="eastAsia" w:ascii="仿宋_GB2312" w:hAnsi="Times New Roman" w:eastAsia="仿宋_GB2312" w:cs="仿宋_GB2312"/>
          <w:kern w:val="2"/>
          <w:sz w:val="32"/>
          <w:szCs w:val="32"/>
          <w:lang w:val="en-US" w:eastAsia="zh-CN" w:bidi="ar"/>
        </w:rPr>
        <w:t>宗，</w:t>
      </w:r>
      <w:r>
        <w:rPr>
          <w:rFonts w:hint="default" w:ascii="仿宋_GB2312" w:hAnsi="Times New Roman" w:eastAsia="仿宋_GB2312" w:cs="仿宋_GB2312"/>
          <w:kern w:val="2"/>
          <w:sz w:val="32"/>
          <w:szCs w:val="32"/>
          <w:lang w:val="en-US" w:eastAsia="zh-CN" w:bidi="ar"/>
        </w:rPr>
        <w:t>不受理量</w:t>
      </w:r>
      <w:r>
        <w:rPr>
          <w:rFonts w:hint="eastAsia" w:ascii="仿宋_GB2312" w:hAnsi="Times New Roman" w:eastAsia="仿宋_GB2312" w:cs="仿宋_GB2312"/>
          <w:kern w:val="2"/>
          <w:sz w:val="32"/>
          <w:szCs w:val="32"/>
          <w:lang w:val="en-US" w:eastAsia="zh-CN" w:bidi="ar"/>
        </w:rPr>
        <w:t>0宗</w:t>
      </w:r>
      <w:r>
        <w:rPr>
          <w:rFonts w:hint="default" w:ascii="仿宋_GB2312" w:hAnsi="Times New Roman" w:eastAsia="仿宋_GB2312" w:cs="仿宋_GB2312"/>
          <w:kern w:val="2"/>
          <w:sz w:val="32"/>
          <w:szCs w:val="32"/>
          <w:lang w:val="en-US" w:eastAsia="zh-CN" w:bidi="ar"/>
        </w:rPr>
        <w:t>；行政许可办结量</w:t>
      </w:r>
      <w:r>
        <w:rPr>
          <w:rFonts w:hint="eastAsia" w:ascii="仿宋_GB2312" w:eastAsia="仿宋_GB2312" w:cs="仿宋_GB2312"/>
          <w:kern w:val="2"/>
          <w:sz w:val="32"/>
          <w:szCs w:val="32"/>
          <w:lang w:val="en-US" w:eastAsia="zh-CN" w:bidi="ar"/>
        </w:rPr>
        <w:t>28</w:t>
      </w:r>
      <w:r>
        <w:rPr>
          <w:rFonts w:hint="eastAsia" w:ascii="仿宋_GB2312" w:hAnsi="Times New Roman" w:eastAsia="仿宋_GB2312" w:cs="仿宋_GB2312"/>
          <w:kern w:val="2"/>
          <w:sz w:val="32"/>
          <w:szCs w:val="32"/>
          <w:lang w:val="en-US" w:eastAsia="zh-CN" w:bidi="ar"/>
        </w:rPr>
        <w:t>宗</w:t>
      </w:r>
      <w:r>
        <w:rPr>
          <w:rFonts w:hint="default" w:ascii="仿宋_GB2312" w:hAnsi="Times New Roman" w:eastAsia="仿宋_GB2312" w:cs="仿宋_GB2312"/>
          <w:kern w:val="2"/>
          <w:sz w:val="32"/>
          <w:szCs w:val="32"/>
          <w:lang w:val="en-US" w:eastAsia="zh-CN" w:bidi="ar"/>
        </w:rPr>
        <w:t>，其中审批同意</w:t>
      </w:r>
      <w:r>
        <w:rPr>
          <w:rFonts w:hint="eastAsia" w:ascii="仿宋_GB2312" w:eastAsia="仿宋_GB2312" w:cs="仿宋_GB2312"/>
          <w:kern w:val="2"/>
          <w:sz w:val="32"/>
          <w:szCs w:val="32"/>
          <w:lang w:val="en-US" w:eastAsia="zh-CN" w:bidi="ar"/>
        </w:rPr>
        <w:t>28</w:t>
      </w:r>
      <w:r>
        <w:rPr>
          <w:rFonts w:hint="eastAsia" w:ascii="仿宋_GB2312" w:hAnsi="Times New Roman" w:eastAsia="仿宋_GB2312" w:cs="仿宋_GB2312"/>
          <w:kern w:val="2"/>
          <w:sz w:val="32"/>
          <w:szCs w:val="32"/>
          <w:lang w:val="en-US" w:eastAsia="zh-CN" w:bidi="ar"/>
        </w:rPr>
        <w:t>宗</w:t>
      </w:r>
      <w:r>
        <w:rPr>
          <w:rFonts w:hint="default" w:ascii="仿宋_GB2312" w:hAnsi="Times New Roman" w:eastAsia="仿宋_GB2312" w:cs="仿宋_GB2312"/>
          <w:kern w:val="2"/>
          <w:sz w:val="32"/>
          <w:szCs w:val="32"/>
          <w:lang w:val="en-US" w:eastAsia="zh-CN" w:bidi="ar"/>
        </w:rPr>
        <w:t>、审批不同意量</w:t>
      </w:r>
      <w:r>
        <w:rPr>
          <w:rFonts w:hint="eastAsia" w:ascii="仿宋_GB2312" w:hAnsi="Times New Roman" w:eastAsia="仿宋_GB2312" w:cs="仿宋_GB2312"/>
          <w:kern w:val="2"/>
          <w:sz w:val="32"/>
          <w:szCs w:val="32"/>
          <w:lang w:val="en-US" w:eastAsia="zh-CN" w:bidi="ar"/>
        </w:rPr>
        <w:t>0宗</w:t>
      </w:r>
      <w:r>
        <w:rPr>
          <w:rFonts w:hint="default" w:ascii="仿宋_GB2312" w:hAnsi="Times New Roman" w:eastAsia="仿宋_GB2312" w:cs="仿宋_GB2312"/>
          <w:kern w:val="2"/>
          <w:sz w:val="32"/>
          <w:szCs w:val="32"/>
          <w:lang w:val="en-US" w:eastAsia="zh-CN" w:bidi="ar"/>
        </w:rPr>
        <w:t>。</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年按</w:t>
      </w:r>
      <w:r>
        <w:rPr>
          <w:rFonts w:hint="eastAsia" w:ascii="仿宋_GB2312" w:hAnsi="仿宋" w:eastAsia="仿宋_GB2312"/>
          <w:sz w:val="32"/>
          <w:szCs w:val="32"/>
        </w:rPr>
        <w:t>时审批办理、办结率为100%，未发现无理由不受理、未按时办结事项现象。</w:t>
      </w:r>
    </w:p>
    <w:p w14:paraId="29ED5271">
      <w:pPr>
        <w:pStyle w:val="13"/>
        <w:keepNext w:val="0"/>
        <w:keepLines w:val="0"/>
        <w:pageBreakBefore w:val="0"/>
        <w:kinsoku/>
        <w:wordWrap/>
        <w:overflowPunct/>
        <w:topLinePunct w:val="0"/>
        <w:autoSpaceDE/>
        <w:autoSpaceDN/>
        <w:bidi w:val="0"/>
        <w:adjustRightInd/>
        <w:spacing w:line="570" w:lineRule="exact"/>
        <w:ind w:firstLine="643" w:firstLineChars="200"/>
        <w:textAlignment w:val="auto"/>
        <w:rPr>
          <w:rFonts w:hint="eastAsia" w:ascii="仿宋_GB2312" w:hAnsi="仿宋" w:eastAsia="仿宋_GB2312"/>
          <w:sz w:val="32"/>
          <w:szCs w:val="32"/>
        </w:rPr>
      </w:pPr>
      <w:r>
        <w:rPr>
          <w:rFonts w:hint="eastAsia" w:ascii="楷体_GB2312" w:hAnsi="楷体" w:eastAsia="楷体_GB2312"/>
          <w:b/>
          <w:sz w:val="32"/>
          <w:szCs w:val="32"/>
        </w:rPr>
        <w:t>（一）依法实施情况。</w:t>
      </w:r>
      <w:r>
        <w:rPr>
          <w:rFonts w:hint="eastAsia" w:ascii="仿宋_GB2312" w:hAnsi="仿宋" w:eastAsia="仿宋_GB2312"/>
          <w:sz w:val="32"/>
          <w:szCs w:val="32"/>
        </w:rPr>
        <w:t>我局在实施行政许可审批过程中，严格按照国家、省、市的相关法律法规要求，依法依规，按审批权限、程序、环节、条件</w:t>
      </w:r>
      <w:r>
        <w:rPr>
          <w:rFonts w:hint="eastAsia" w:ascii="仿宋_GB2312" w:hAnsi="仿宋" w:eastAsia="仿宋_GB2312"/>
          <w:sz w:val="32"/>
          <w:szCs w:val="32"/>
          <w:lang w:val="en-US" w:eastAsia="zh-CN"/>
        </w:rPr>
        <w:t>进行审批</w:t>
      </w:r>
      <w:r>
        <w:rPr>
          <w:rFonts w:hint="eastAsia" w:ascii="仿宋_GB2312" w:hAnsi="仿宋" w:eastAsia="仿宋_GB2312"/>
          <w:sz w:val="32"/>
          <w:szCs w:val="32"/>
        </w:rPr>
        <w:t>，按《行政许可法》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代理记账记账管理办法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规定的</w:t>
      </w:r>
      <w:r>
        <w:rPr>
          <w:rFonts w:hint="eastAsia" w:ascii="仿宋_GB2312" w:hAnsi="仿宋" w:eastAsia="仿宋_GB2312"/>
          <w:sz w:val="32"/>
          <w:szCs w:val="32"/>
        </w:rPr>
        <w:t>经办、审核、批准程序</w:t>
      </w:r>
      <w:r>
        <w:rPr>
          <w:rFonts w:hint="eastAsia" w:ascii="仿宋_GB2312" w:hAnsi="仿宋" w:eastAsia="仿宋_GB2312"/>
          <w:sz w:val="32"/>
          <w:szCs w:val="32"/>
          <w:lang w:val="en-US" w:eastAsia="zh-CN"/>
        </w:rPr>
        <w:t>办理行政许可，</w:t>
      </w:r>
      <w:r>
        <w:rPr>
          <w:rFonts w:hint="eastAsia" w:ascii="仿宋_GB2312" w:hAnsi="仿宋" w:eastAsia="仿宋_GB2312"/>
          <w:sz w:val="32"/>
          <w:szCs w:val="32"/>
        </w:rPr>
        <w:t>无变相设定和实施行政许可的情况</w:t>
      </w:r>
      <w:r>
        <w:rPr>
          <w:rFonts w:hint="eastAsia" w:ascii="仿宋_GB2312" w:hAnsi="仿宋" w:eastAsia="仿宋_GB2312"/>
          <w:sz w:val="32"/>
          <w:szCs w:val="32"/>
          <w:lang w:val="en-US" w:eastAsia="zh-CN"/>
        </w:rPr>
        <w:t>。依托全国代理记账管理系统，全程网上</w:t>
      </w:r>
      <w:r>
        <w:rPr>
          <w:rFonts w:hint="eastAsia" w:ascii="仿宋_GB2312" w:hAnsi="仿宋" w:eastAsia="仿宋_GB2312"/>
          <w:sz w:val="32"/>
          <w:szCs w:val="32"/>
        </w:rPr>
        <w:t>受理行政许可的申请，</w:t>
      </w:r>
      <w:r>
        <w:rPr>
          <w:rFonts w:hint="eastAsia" w:ascii="仿宋_GB2312" w:hAnsi="仿宋" w:eastAsia="仿宋_GB2312"/>
          <w:sz w:val="32"/>
          <w:szCs w:val="32"/>
          <w:lang w:val="en-US" w:eastAsia="zh-CN"/>
        </w:rPr>
        <w:t>高效便民。</w:t>
      </w:r>
      <w:r>
        <w:rPr>
          <w:rFonts w:hint="eastAsia" w:ascii="仿宋_GB2312" w:hAnsi="Times New Roman" w:eastAsia="仿宋_GB2312" w:cs="仿宋_GB2312"/>
          <w:kern w:val="2"/>
          <w:sz w:val="32"/>
          <w:szCs w:val="32"/>
          <w:lang w:val="en-US" w:eastAsia="zh-CN" w:bidi="ar"/>
        </w:rPr>
        <w:t>该</w:t>
      </w:r>
      <w:r>
        <w:rPr>
          <w:rFonts w:hint="default" w:ascii="仿宋_GB2312" w:hAnsi="Times New Roman" w:eastAsia="仿宋_GB2312" w:cs="仿宋_GB2312"/>
          <w:kern w:val="2"/>
          <w:sz w:val="32"/>
          <w:szCs w:val="32"/>
          <w:lang w:val="en-US" w:eastAsia="zh-CN" w:bidi="ar"/>
        </w:rPr>
        <w:t>事项的法定办结期限</w:t>
      </w:r>
      <w:r>
        <w:rPr>
          <w:rFonts w:hint="eastAsia" w:ascii="仿宋_GB2312" w:hAnsi="Times New Roman" w:eastAsia="仿宋_GB2312" w:cs="仿宋_GB2312"/>
          <w:kern w:val="2"/>
          <w:sz w:val="32"/>
          <w:szCs w:val="32"/>
          <w:lang w:val="en-US" w:eastAsia="zh-CN" w:bidi="ar"/>
        </w:rPr>
        <w:t>为10个工作日，</w:t>
      </w:r>
      <w:r>
        <w:rPr>
          <w:rFonts w:hint="default" w:ascii="仿宋_GB2312" w:hAnsi="Times New Roman" w:eastAsia="仿宋_GB2312" w:cs="仿宋_GB2312"/>
          <w:kern w:val="2"/>
          <w:sz w:val="32"/>
          <w:szCs w:val="32"/>
          <w:lang w:val="en-US" w:eastAsia="zh-CN" w:bidi="ar"/>
        </w:rPr>
        <w:t>承诺办结期限</w:t>
      </w:r>
      <w:r>
        <w:rPr>
          <w:rFonts w:hint="eastAsia" w:ascii="仿宋_GB2312" w:hAnsi="Times New Roman" w:eastAsia="仿宋_GB2312" w:cs="仿宋_GB2312"/>
          <w:kern w:val="2"/>
          <w:sz w:val="32"/>
          <w:szCs w:val="32"/>
          <w:lang w:val="en-US" w:eastAsia="zh-CN" w:bidi="ar"/>
        </w:rPr>
        <w:t>1个工作日，</w:t>
      </w:r>
      <w:r>
        <w:rPr>
          <w:rFonts w:hint="default" w:ascii="仿宋_GB2312" w:hAnsi="Times New Roman" w:eastAsia="仿宋_GB2312" w:cs="仿宋_GB2312"/>
          <w:kern w:val="2"/>
          <w:sz w:val="32"/>
          <w:szCs w:val="32"/>
          <w:lang w:val="en-US" w:eastAsia="zh-CN" w:bidi="ar"/>
        </w:rPr>
        <w:t>实际平均办结时间</w:t>
      </w:r>
      <w:r>
        <w:rPr>
          <w:rFonts w:hint="eastAsia" w:ascii="仿宋_GB2312" w:hAnsi="Times New Roman" w:eastAsia="仿宋_GB2312" w:cs="仿宋_GB2312"/>
          <w:kern w:val="2"/>
          <w:sz w:val="32"/>
          <w:szCs w:val="32"/>
          <w:lang w:val="en-US" w:eastAsia="zh-CN" w:bidi="ar"/>
        </w:rPr>
        <w:t>1个工作日，与承诺办结时限一致，缩短办结时限90%，</w:t>
      </w:r>
      <w:r>
        <w:rPr>
          <w:rFonts w:hint="eastAsia" w:ascii="仿宋_GB2312" w:hAnsi="仿宋" w:eastAsia="仿宋_GB2312"/>
          <w:sz w:val="32"/>
          <w:szCs w:val="32"/>
        </w:rPr>
        <w:t>有效缩短了办结时间，</w:t>
      </w:r>
      <w:r>
        <w:rPr>
          <w:rFonts w:hint="eastAsia" w:ascii="仿宋_GB2312" w:hAnsi="仿宋" w:eastAsia="仿宋_GB2312"/>
          <w:sz w:val="32"/>
          <w:szCs w:val="32"/>
          <w:lang w:val="en-US" w:eastAsia="zh-CN"/>
        </w:rPr>
        <w:t>大大</w:t>
      </w:r>
      <w:r>
        <w:rPr>
          <w:rFonts w:hint="eastAsia" w:ascii="仿宋_GB2312" w:hAnsi="仿宋" w:eastAsia="仿宋_GB2312"/>
          <w:sz w:val="32"/>
          <w:szCs w:val="32"/>
        </w:rPr>
        <w:t>提高了办事效率。</w:t>
      </w:r>
    </w:p>
    <w:p w14:paraId="4B9CB5AD">
      <w:pPr>
        <w:pStyle w:val="13"/>
        <w:keepNext w:val="0"/>
        <w:keepLines w:val="0"/>
        <w:pageBreakBefore w:val="0"/>
        <w:kinsoku/>
        <w:wordWrap/>
        <w:overflowPunct/>
        <w:topLinePunct w:val="0"/>
        <w:autoSpaceDE/>
        <w:autoSpaceDN/>
        <w:bidi w:val="0"/>
        <w:adjustRightInd/>
        <w:spacing w:line="570" w:lineRule="exact"/>
        <w:ind w:firstLine="643" w:firstLineChars="200"/>
        <w:textAlignment w:val="auto"/>
        <w:rPr>
          <w:rFonts w:hint="eastAsia" w:ascii="仿宋_GB2312" w:hAnsi="仿宋" w:eastAsia="仿宋_GB2312"/>
          <w:sz w:val="32"/>
          <w:szCs w:val="32"/>
        </w:rPr>
      </w:pPr>
      <w:r>
        <w:rPr>
          <w:rFonts w:ascii="楷体_GB2312" w:hAnsi="楷体" w:eastAsia="楷体_GB2312"/>
          <w:b/>
          <w:sz w:val="32"/>
          <w:szCs w:val="32"/>
        </w:rPr>
        <w:t>（二）公开公示情况。</w:t>
      </w:r>
      <w:r>
        <w:rPr>
          <w:rFonts w:hint="eastAsia" w:ascii="仿宋_GB2312" w:hAnsi="Times New Roman" w:eastAsia="仿宋_GB2312" w:cs="仿宋_GB2312"/>
          <w:kern w:val="2"/>
          <w:sz w:val="32"/>
          <w:szCs w:val="32"/>
          <w:lang w:val="en-US" w:eastAsia="zh-CN" w:bidi="ar"/>
        </w:rPr>
        <w:t>我局已在广东省政务服务网中</w:t>
      </w:r>
      <w:r>
        <w:rPr>
          <w:rFonts w:hint="default" w:ascii="仿宋_GB2312" w:hAnsi="Times New Roman" w:eastAsia="仿宋_GB2312" w:cs="仿宋_GB2312"/>
          <w:kern w:val="2"/>
          <w:sz w:val="32"/>
          <w:szCs w:val="32"/>
          <w:lang w:val="en-US" w:eastAsia="zh-CN" w:bidi="ar"/>
        </w:rPr>
        <w:t>公开</w:t>
      </w:r>
      <w:r>
        <w:rPr>
          <w:rFonts w:hint="eastAsia" w:ascii="仿宋_GB2312" w:hAnsi="Times New Roman" w:eastAsia="仿宋_GB2312" w:cs="仿宋_GB2312"/>
          <w:kern w:val="2"/>
          <w:sz w:val="32"/>
          <w:szCs w:val="32"/>
          <w:lang w:val="en-US" w:eastAsia="zh-CN" w:bidi="ar"/>
        </w:rPr>
        <w:t>了</w:t>
      </w:r>
      <w:r>
        <w:rPr>
          <w:rFonts w:hint="eastAsia" w:ascii="仿宋_GB2312" w:hAnsi="仿宋" w:eastAsia="仿宋_GB2312"/>
          <w:sz w:val="32"/>
          <w:szCs w:val="32"/>
        </w:rPr>
        <w:t>行政许可审批事项名称及其</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"http://www.taijingfeng.com/c545.html"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办理指南</w:t>
      </w:r>
      <w:r>
        <w:rPr>
          <w:rFonts w:hint="eastAsia" w:ascii="仿宋_GB2312" w:hAnsi="仿宋" w:eastAsia="仿宋_GB2312"/>
          <w:sz w:val="32"/>
          <w:szCs w:val="32"/>
        </w:rPr>
        <w:fldChar w:fldCharType="end"/>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将</w:t>
      </w:r>
      <w:r>
        <w:rPr>
          <w:rFonts w:hint="default" w:ascii="仿宋_GB2312" w:hAnsi="Times New Roman" w:eastAsia="仿宋_GB2312" w:cs="仿宋_GB2312"/>
          <w:kern w:val="2"/>
          <w:sz w:val="32"/>
          <w:szCs w:val="32"/>
          <w:lang w:val="en-US" w:eastAsia="zh-CN" w:bidi="ar"/>
        </w:rPr>
        <w:t>实施主体、依据、程序、条件、期限、申请材料及办法、收费标准、申请书格式文本、咨询投诉方式等信息</w:t>
      </w:r>
      <w:r>
        <w:rPr>
          <w:rFonts w:hint="eastAsia" w:ascii="仿宋_GB2312" w:hAnsi="Times New Roman" w:eastAsia="仿宋_GB2312" w:cs="仿宋_GB2312"/>
          <w:kern w:val="2"/>
          <w:sz w:val="32"/>
          <w:szCs w:val="32"/>
          <w:lang w:val="en-US" w:eastAsia="zh-CN" w:bidi="ar"/>
        </w:rPr>
        <w:t>进行了细化公开，</w:t>
      </w:r>
      <w:r>
        <w:rPr>
          <w:rFonts w:hint="eastAsia" w:ascii="仿宋_GB2312" w:hAnsi="仿宋" w:eastAsia="仿宋_GB2312"/>
          <w:sz w:val="32"/>
          <w:szCs w:val="32"/>
          <w:lang w:val="en-US" w:eastAsia="zh-CN"/>
        </w:rPr>
        <w:t>并明确表示不收</w:t>
      </w:r>
      <w:r>
        <w:rPr>
          <w:rFonts w:hint="eastAsia" w:ascii="仿宋_GB2312" w:hAnsi="仿宋" w:eastAsia="仿宋_GB2312"/>
          <w:sz w:val="32"/>
          <w:szCs w:val="32"/>
        </w:rPr>
        <w:t>费</w:t>
      </w:r>
      <w:r>
        <w:rPr>
          <w:rFonts w:hint="eastAsia" w:ascii="仿宋_GB2312" w:hAnsi="仿宋" w:eastAsia="仿宋_GB2312"/>
          <w:sz w:val="32"/>
          <w:szCs w:val="32"/>
          <w:lang w:val="en-US"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在办理28</w:t>
      </w:r>
      <w:r>
        <w:rPr>
          <w:rFonts w:hint="eastAsia" w:ascii="仿宋_GB2312" w:hAnsi="仿宋" w:eastAsia="仿宋_GB2312"/>
          <w:color w:val="auto"/>
          <w:sz w:val="32"/>
          <w:szCs w:val="32"/>
        </w:rPr>
        <w:t>家代理记账机构</w:t>
      </w:r>
      <w:r>
        <w:rPr>
          <w:rFonts w:hint="eastAsia" w:ascii="仿宋_GB2312" w:hAnsi="仿宋" w:eastAsia="仿宋_GB2312"/>
          <w:color w:val="auto"/>
          <w:sz w:val="32"/>
          <w:szCs w:val="32"/>
          <w:lang w:val="en-US" w:eastAsia="zh-CN"/>
        </w:rPr>
        <w:t>申请代理记账资格的行政许可过程中</w:t>
      </w:r>
      <w:r>
        <w:rPr>
          <w:rFonts w:hint="eastAsia" w:ascii="仿宋_GB2312" w:hAnsi="仿宋" w:eastAsia="仿宋_GB2312"/>
          <w:color w:val="auto"/>
          <w:sz w:val="32"/>
          <w:szCs w:val="32"/>
        </w:rPr>
        <w:t>，都经过严格把关，并按“双公示”要求</w:t>
      </w:r>
      <w:r>
        <w:rPr>
          <w:rFonts w:hint="eastAsia" w:ascii="仿宋_GB2312" w:hAnsi="仿宋" w:eastAsia="仿宋_GB2312"/>
          <w:sz w:val="32"/>
          <w:szCs w:val="32"/>
        </w:rPr>
        <w:t>上传到广州市公共信用信息管理系统和广东省行政执法信息公示平台。同时我局</w:t>
      </w:r>
      <w:r>
        <w:rPr>
          <w:rFonts w:hint="eastAsia" w:ascii="仿宋_GB2312" w:hAnsi="仿宋" w:eastAsia="仿宋_GB2312"/>
          <w:sz w:val="32"/>
          <w:szCs w:val="32"/>
          <w:lang w:val="en-US" w:eastAsia="zh-CN"/>
        </w:rPr>
        <w:t>积极对接</w:t>
      </w:r>
      <w:r>
        <w:rPr>
          <w:rFonts w:hint="eastAsia" w:ascii="仿宋_GB2312" w:hAnsi="仿宋" w:eastAsia="仿宋_GB2312"/>
          <w:sz w:val="32"/>
          <w:szCs w:val="32"/>
        </w:rPr>
        <w:t>广州市</w:t>
      </w:r>
      <w:r>
        <w:rPr>
          <w:rFonts w:hint="eastAsia" w:ascii="仿宋_GB2312" w:hAnsi="仿宋" w:eastAsia="仿宋_GB2312"/>
          <w:sz w:val="32"/>
          <w:szCs w:val="32"/>
          <w:lang w:val="en-US" w:eastAsia="zh-CN"/>
        </w:rPr>
        <w:t>12345政务平台</w:t>
      </w:r>
      <w:r>
        <w:rPr>
          <w:rFonts w:hint="eastAsia" w:ascii="仿宋_GB2312" w:hAnsi="仿宋" w:eastAsia="仿宋_GB2312"/>
          <w:sz w:val="32"/>
          <w:szCs w:val="32"/>
        </w:rPr>
        <w:t>，及时解答</w:t>
      </w:r>
      <w:r>
        <w:rPr>
          <w:rFonts w:hint="eastAsia" w:ascii="仿宋_GB2312" w:hAnsi="仿宋" w:eastAsia="仿宋_GB2312"/>
          <w:sz w:val="32"/>
          <w:szCs w:val="32"/>
          <w:lang w:val="en-US" w:eastAsia="zh-CN"/>
        </w:rPr>
        <w:t>涉及该事项审批的</w:t>
      </w:r>
      <w:r>
        <w:rPr>
          <w:rFonts w:hint="eastAsia" w:ascii="仿宋_GB2312" w:hAnsi="仿宋" w:eastAsia="仿宋_GB2312"/>
          <w:sz w:val="32"/>
          <w:szCs w:val="32"/>
        </w:rPr>
        <w:t>各种常见的咨询问题。</w:t>
      </w:r>
    </w:p>
    <w:p w14:paraId="175792A0">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eastAsia="仿宋_GB2312" w:cs="Times New Roman"/>
          <w:b w:val="0"/>
          <w:bCs w:val="0"/>
          <w:color w:val="000000"/>
          <w:kern w:val="2"/>
          <w:sz w:val="32"/>
          <w:szCs w:val="32"/>
          <w:lang w:val="en-US" w:eastAsia="zh-CN" w:bidi="ar-SA"/>
        </w:rPr>
      </w:pPr>
      <w:r>
        <w:rPr>
          <w:rFonts w:ascii="楷体_GB2312" w:hAnsi="楷体" w:eastAsia="楷体_GB2312"/>
          <w:b/>
          <w:sz w:val="32"/>
          <w:szCs w:val="32"/>
        </w:rPr>
        <w:t>（三）</w:t>
      </w:r>
      <w:r>
        <w:rPr>
          <w:rFonts w:hint="eastAsia" w:ascii="楷体_GB2312" w:hAnsi="楷体" w:eastAsia="楷体_GB2312"/>
          <w:b/>
          <w:sz w:val="32"/>
          <w:szCs w:val="32"/>
          <w:lang w:val="en-US" w:eastAsia="zh-CN"/>
        </w:rPr>
        <w:t>监督管理</w:t>
      </w:r>
      <w:r>
        <w:rPr>
          <w:rFonts w:ascii="楷体_GB2312" w:hAnsi="楷体" w:eastAsia="楷体_GB2312"/>
          <w:b/>
          <w:sz w:val="32"/>
          <w:szCs w:val="32"/>
        </w:rPr>
        <w:t>情况。</w:t>
      </w:r>
      <w:r>
        <w:rPr>
          <w:rFonts w:hint="eastAsia" w:ascii="Times New Roman" w:hAnsi="Times New Roman" w:eastAsia="仿宋_GB2312" w:cs="Times New Roman"/>
          <w:b w:val="0"/>
          <w:bCs w:val="0"/>
          <w:color w:val="000000"/>
          <w:kern w:val="2"/>
          <w:sz w:val="32"/>
          <w:szCs w:val="32"/>
          <w:lang w:val="en-US" w:eastAsia="zh-CN" w:bidi="ar-SA"/>
        </w:rPr>
        <w:t>一方面，推动会计诚信建设。</w:t>
      </w:r>
      <w:r>
        <w:rPr>
          <w:rFonts w:hint="eastAsia" w:ascii="仿宋_GB2312" w:hAnsi="仿宋_GB2312" w:eastAsia="仿宋_GB2312" w:cs="仿宋_GB2312"/>
          <w:sz w:val="32"/>
          <w:szCs w:val="32"/>
          <w:highlight w:val="none"/>
          <w:lang w:val="en-US" w:eastAsia="zh-CN"/>
        </w:rPr>
        <w:t>依托广州市信用信息公示、花都融媒体等平台，开展代理记账行业诚信承诺活动，</w:t>
      </w:r>
      <w:r>
        <w:rPr>
          <w:rFonts w:hint="eastAsia" w:ascii="Times New Roman" w:hAnsi="Times New Roman" w:eastAsia="仿宋_GB2312" w:cs="Times New Roman"/>
          <w:b w:val="0"/>
          <w:bCs w:val="0"/>
          <w:color w:val="000000"/>
          <w:kern w:val="2"/>
          <w:sz w:val="32"/>
          <w:szCs w:val="32"/>
          <w:lang w:val="en-US" w:eastAsia="zh-CN" w:bidi="ar-SA"/>
        </w:rPr>
        <w:t>建立健全贯穿市场主体全生命周期、衔接事前、事中、事后全监管环节的新型监管机制</w:t>
      </w:r>
      <w:r>
        <w:rPr>
          <w:rFonts w:hint="eastAsia" w:ascii="仿宋_GB2312" w:hAnsi="仿宋_GB2312" w:eastAsia="仿宋_GB2312" w:cs="仿宋_GB2312"/>
          <w:sz w:val="32"/>
          <w:szCs w:val="32"/>
          <w:highlight w:val="none"/>
          <w:lang w:val="en-US" w:eastAsia="zh-CN"/>
        </w:rPr>
        <w:t>营造“阳光经营、诚信会计”良好氛围。2024年共完成279家代理记账机构年度备案，年度备案率100%。同时，利用“双随机、一公开”抽取25余家代理记账机构进行执业质量现场检查，加强事中事后综</w:t>
      </w:r>
      <w:r>
        <w:rPr>
          <w:rFonts w:hint="eastAsia" w:eastAsia="仿宋_GB2312" w:cs="Times New Roman"/>
          <w:b w:val="0"/>
          <w:bCs w:val="0"/>
          <w:color w:val="000000"/>
          <w:kern w:val="2"/>
          <w:sz w:val="32"/>
          <w:szCs w:val="32"/>
          <w:lang w:val="en-US" w:eastAsia="zh-CN" w:bidi="ar-SA"/>
        </w:rPr>
        <w:t>合监管。</w:t>
      </w:r>
      <w:r>
        <w:rPr>
          <w:rFonts w:hint="eastAsia" w:ascii="仿宋_GB2312" w:hAnsi="仿宋_GB2312" w:eastAsia="仿宋_GB2312" w:cs="仿宋_GB2312"/>
          <w:sz w:val="32"/>
          <w:szCs w:val="32"/>
          <w:highlight w:val="none"/>
          <w:lang w:val="en-US" w:eastAsia="zh-CN"/>
        </w:rPr>
        <w:t>另一方面，完善会计法治建设。按</w:t>
      </w:r>
      <w:r>
        <w:rPr>
          <w:rFonts w:hint="eastAsia" w:ascii="Times New Roman" w:hAnsi="Times New Roman" w:eastAsia="仿宋_GB2312" w:cs="Times New Roman"/>
          <w:kern w:val="2"/>
          <w:sz w:val="32"/>
          <w:szCs w:val="32"/>
          <w:lang w:val="en-US" w:eastAsia="zh-CN" w:bidi="ar-SA"/>
        </w:rPr>
        <w:t>照“查处与引导、处罚与教育”相结合的原则</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kern w:val="2"/>
          <w:sz w:val="32"/>
          <w:szCs w:val="32"/>
          <w:lang w:val="en-US" w:eastAsia="zh-CN" w:bidi="ar-SA"/>
        </w:rPr>
        <w:t>对“初犯、偶犯”、未造成社会不良影响的数百家无证照代理记账企业，采取责令整改、约谈</w:t>
      </w:r>
      <w:r>
        <w:rPr>
          <w:rFonts w:hint="eastAsia" w:ascii="仿宋_GB2312" w:hAnsi="仿宋_GB2312" w:eastAsia="仿宋_GB2312" w:cs="仿宋_GB2312"/>
          <w:sz w:val="32"/>
          <w:szCs w:val="32"/>
          <w:highlight w:val="none"/>
          <w:lang w:val="en-US" w:eastAsia="zh-CN"/>
        </w:rPr>
        <w:t>等手段，督促引导企业办理营业执照、代理记账许可证，促进企业经营合法化、代理记账市场良性发展。</w:t>
      </w:r>
    </w:p>
    <w:p w14:paraId="08C5B7D4">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ascii="楷体_GB2312" w:hAnsi="楷体" w:eastAsia="楷体_GB2312"/>
          <w:b/>
          <w:sz w:val="32"/>
          <w:szCs w:val="32"/>
        </w:rPr>
        <w:t>（四）实施效果情况。</w:t>
      </w:r>
      <w:r>
        <w:rPr>
          <w:rFonts w:ascii="仿宋_GB2312" w:hAnsi="宋体" w:eastAsia="仿宋_GB2312" w:cs="仿宋_GB2312"/>
          <w:color w:val="000000"/>
          <w:kern w:val="0"/>
          <w:sz w:val="32"/>
          <w:szCs w:val="32"/>
          <w:lang w:val="en-US" w:eastAsia="zh-CN" w:bidi="ar"/>
        </w:rPr>
        <w:t xml:space="preserve">通过对代理记账机构（以下称机构）及其会计机构负责人 </w:t>
      </w:r>
      <w:r>
        <w:rPr>
          <w:rFonts w:hint="eastAsia" w:ascii="仿宋_GB2312" w:hAnsi="宋体" w:eastAsia="仿宋_GB2312" w:cs="仿宋_GB2312"/>
          <w:color w:val="000000"/>
          <w:kern w:val="0"/>
          <w:sz w:val="32"/>
          <w:szCs w:val="32"/>
          <w:lang w:val="en-US" w:eastAsia="zh-CN" w:bidi="ar"/>
        </w:rPr>
        <w:t>（会计主管人员）任职资格的监督检查，进一步完善会计监管机制，引导机构建立健全自我监督机制，提升机构和专职从业人员的执业质量，提升机构会计信息质量，助力我区经济的高质量发展。2024年，</w:t>
      </w:r>
      <w:r>
        <w:rPr>
          <w:rFonts w:hint="eastAsia" w:ascii="仿宋_GB2312" w:hAnsi="仿宋_GB2312" w:eastAsia="仿宋_GB2312" w:cs="仿宋_GB2312"/>
          <w:sz w:val="32"/>
          <w:szCs w:val="32"/>
          <w:highlight w:val="none"/>
          <w:lang w:val="en-US" w:eastAsia="zh-CN"/>
        </w:rPr>
        <w:t>通过“双随机、</w:t>
      </w:r>
      <w:bookmarkStart w:id="0" w:name="_GoBack"/>
      <w:bookmarkEnd w:id="0"/>
      <w:r>
        <w:rPr>
          <w:rFonts w:hint="eastAsia" w:ascii="仿宋_GB2312" w:hAnsi="仿宋_GB2312" w:eastAsia="仿宋_GB2312" w:cs="仿宋_GB2312"/>
          <w:sz w:val="32"/>
          <w:szCs w:val="32"/>
          <w:highlight w:val="none"/>
          <w:lang w:val="en-US" w:eastAsia="zh-CN"/>
        </w:rPr>
        <w:t>一公开”进行现场行政检查25次，同时开展无证经营线上专项数据排查32次，督促2家无证企业办理《代理记账许可证》，6家无证企业主动删除“代理记账”经营范围，规范了行业秩序，切实优化了代理记账行业的营商环境，营造“阳光经营、诚信会计”良好氛围。</w:t>
      </w:r>
    </w:p>
    <w:p w14:paraId="76B03269">
      <w:pPr>
        <w:pStyle w:val="13"/>
        <w:keepNext w:val="0"/>
        <w:keepLines w:val="0"/>
        <w:pageBreakBefore w:val="0"/>
        <w:numPr>
          <w:ilvl w:val="0"/>
          <w:numId w:val="0"/>
        </w:numPr>
        <w:kinsoku/>
        <w:wordWrap/>
        <w:overflowPunct/>
        <w:topLinePunct w:val="0"/>
        <w:autoSpaceDE/>
        <w:autoSpaceDN/>
        <w:bidi w:val="0"/>
        <w:adjustRightInd/>
        <w:spacing w:line="570" w:lineRule="exact"/>
        <w:ind w:firstLine="643" w:firstLineChars="200"/>
        <w:textAlignment w:val="auto"/>
        <w:rPr>
          <w:rFonts w:ascii="楷体_GB2312" w:hAnsi="楷体" w:eastAsia="楷体_GB2312"/>
          <w:b/>
          <w:sz w:val="32"/>
          <w:szCs w:val="32"/>
        </w:rPr>
      </w:pPr>
      <w:r>
        <w:rPr>
          <w:rFonts w:ascii="楷体_GB2312" w:hAnsi="楷体" w:eastAsia="楷体_GB2312"/>
          <w:b/>
          <w:sz w:val="32"/>
          <w:szCs w:val="32"/>
        </w:rPr>
        <w:t>（五）创新方式情况。</w:t>
      </w:r>
      <w:r>
        <w:rPr>
          <w:rFonts w:hint="default" w:ascii="仿宋_GB2312" w:hAnsi="Times New Roman" w:eastAsia="仿宋_GB2312" w:cs="仿宋_GB2312"/>
          <w:kern w:val="2"/>
          <w:sz w:val="32"/>
          <w:szCs w:val="32"/>
          <w:lang w:val="en-US" w:eastAsia="zh-CN" w:bidi="ar"/>
        </w:rPr>
        <w:t>为深入推进</w:t>
      </w:r>
      <w:r>
        <w:rPr>
          <w:rFonts w:hint="eastAsia" w:ascii="仿宋_GB2312" w:hAnsi="Times New Roman" w:eastAsia="仿宋_GB2312" w:cs="仿宋_GB2312"/>
          <w:kern w:val="2"/>
          <w:sz w:val="32"/>
          <w:szCs w:val="32"/>
          <w:lang w:val="en-US" w:eastAsia="zh-CN" w:bidi="ar"/>
        </w:rPr>
        <w:t>代理记账</w:t>
      </w:r>
      <w:r>
        <w:rPr>
          <w:rFonts w:hint="default" w:ascii="仿宋_GB2312" w:hAnsi="Times New Roman" w:eastAsia="仿宋_GB2312" w:cs="仿宋_GB2312"/>
          <w:kern w:val="2"/>
          <w:sz w:val="32"/>
          <w:szCs w:val="32"/>
          <w:lang w:val="en-US" w:eastAsia="zh-CN" w:bidi="ar"/>
        </w:rPr>
        <w:t>“放管服”改革</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落实“一网通办”行政审批事项</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全力推进“证照分离”</w:t>
      </w:r>
      <w:r>
        <w:rPr>
          <w:rFonts w:hint="eastAsia" w:ascii="仿宋_GB2312" w:hAnsi="Times New Roman" w:eastAsia="仿宋_GB2312" w:cs="仿宋_GB2312"/>
          <w:kern w:val="2"/>
          <w:sz w:val="32"/>
          <w:szCs w:val="32"/>
          <w:lang w:val="en-US" w:eastAsia="zh-CN" w:bidi="ar"/>
        </w:rPr>
        <w:t>，我局</w:t>
      </w:r>
      <w:r>
        <w:rPr>
          <w:rFonts w:hint="default" w:ascii="仿宋_GB2312" w:hAnsi="Times New Roman" w:eastAsia="仿宋_GB2312" w:cs="仿宋_GB2312"/>
          <w:kern w:val="2"/>
          <w:sz w:val="32"/>
          <w:szCs w:val="32"/>
          <w:lang w:val="en-US" w:eastAsia="zh-CN" w:bidi="ar"/>
        </w:rPr>
        <w:t>在已实现事项办理全网办、申请资料一次性告知、承诺当日办结等基础上</w:t>
      </w:r>
      <w:r>
        <w:rPr>
          <w:rFonts w:hint="eastAsia" w:ascii="仿宋_GB2312" w:hAnsi="Times New Roman" w:eastAsia="仿宋_GB2312" w:cs="仿宋_GB2312"/>
          <w:kern w:val="2"/>
          <w:sz w:val="32"/>
          <w:szCs w:val="32"/>
          <w:lang w:val="en-US" w:eastAsia="zh-CN" w:bidi="ar"/>
        </w:rPr>
        <w:t>，创新行政审批方式，</w:t>
      </w:r>
      <w:r>
        <w:rPr>
          <w:rFonts w:hint="default" w:ascii="仿宋_GB2312" w:hAnsi="Times New Roman" w:eastAsia="仿宋_GB2312" w:cs="仿宋_GB2312"/>
          <w:kern w:val="2"/>
          <w:sz w:val="32"/>
          <w:szCs w:val="32"/>
          <w:lang w:val="en-US" w:eastAsia="zh-CN" w:bidi="ar"/>
        </w:rPr>
        <w:t>全面启动代理记账资格申请告知承诺制办理</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办理流程由原来的“网上申请受理—收件—审核—审批—制证”，变为现在的“网上申请受理—审核—审批—制证—后期核验”，审批时限压减为现场即办，即可通过网办，当场获取代理记账许可。材料由原来的“一叠申请”减少为“一纸承诺”，大大提高了审批效率，切实减轻了企业办事负担。</w:t>
      </w:r>
    </w:p>
    <w:p w14:paraId="2B84008A">
      <w:pPr>
        <w:pStyle w:val="13"/>
        <w:keepNext w:val="0"/>
        <w:keepLines w:val="0"/>
        <w:pageBreakBefore w:val="0"/>
        <w:numPr>
          <w:ilvl w:val="0"/>
          <w:numId w:val="0"/>
        </w:numPr>
        <w:kinsoku/>
        <w:wordWrap/>
        <w:overflowPunct/>
        <w:topLinePunct w:val="0"/>
        <w:autoSpaceDE/>
        <w:autoSpaceDN/>
        <w:bidi w:val="0"/>
        <w:adjustRightInd/>
        <w:spacing w:line="570" w:lineRule="exact"/>
        <w:ind w:firstLine="643" w:firstLineChars="200"/>
        <w:textAlignment w:val="auto"/>
        <w:rPr>
          <w:rFonts w:hint="default" w:ascii="仿宋_GB2312" w:hAnsi="Times New Roman" w:eastAsia="仿宋_GB2312" w:cs="仿宋_GB2312"/>
          <w:kern w:val="2"/>
          <w:sz w:val="32"/>
          <w:szCs w:val="32"/>
          <w:lang w:val="en-US" w:eastAsia="zh-CN" w:bidi="ar"/>
        </w:rPr>
      </w:pPr>
      <w:r>
        <w:rPr>
          <w:rFonts w:ascii="楷体_GB2312" w:hAnsi="楷体" w:eastAsia="楷体_GB2312"/>
          <w:b/>
          <w:sz w:val="32"/>
          <w:szCs w:val="32"/>
        </w:rPr>
        <w:t>（六）推行标准化情况。</w:t>
      </w:r>
      <w:r>
        <w:rPr>
          <w:rFonts w:hint="default" w:ascii="仿宋_GB2312" w:hAnsi="Times New Roman" w:eastAsia="仿宋_GB2312" w:cs="仿宋_GB2312"/>
          <w:kern w:val="2"/>
          <w:sz w:val="32"/>
          <w:szCs w:val="32"/>
          <w:lang w:val="en-US" w:eastAsia="zh-CN" w:bidi="ar"/>
        </w:rPr>
        <w:t>在推进</w:t>
      </w:r>
      <w:r>
        <w:rPr>
          <w:rFonts w:hint="eastAsia" w:ascii="仿宋_GB2312" w:hAnsi="Times New Roman" w:eastAsia="仿宋_GB2312" w:cs="仿宋_GB2312"/>
          <w:kern w:val="2"/>
          <w:sz w:val="32"/>
          <w:szCs w:val="32"/>
          <w:lang w:val="en-US" w:eastAsia="zh-CN" w:bidi="ar"/>
        </w:rPr>
        <w:t>代理记账行政审批过程中，实行全流程标准化网上办理，</w:t>
      </w:r>
      <w:r>
        <w:rPr>
          <w:rFonts w:hint="default" w:ascii="仿宋_GB2312" w:hAnsi="Times New Roman" w:eastAsia="仿宋_GB2312" w:cs="仿宋_GB2312"/>
          <w:kern w:val="2"/>
          <w:sz w:val="32"/>
          <w:szCs w:val="32"/>
          <w:lang w:val="en-US" w:eastAsia="zh-CN" w:bidi="ar"/>
        </w:rPr>
        <w:t>编制了</w:t>
      </w:r>
      <w:r>
        <w:rPr>
          <w:rFonts w:hint="eastAsia" w:ascii="仿宋_GB2312" w:hAnsi="Times New Roman" w:eastAsia="仿宋_GB2312" w:cs="仿宋_GB2312"/>
          <w:kern w:val="2"/>
          <w:sz w:val="32"/>
          <w:szCs w:val="32"/>
          <w:lang w:val="en-US" w:eastAsia="zh-CN" w:bidi="ar"/>
        </w:rPr>
        <w:t>《广州市花都区设立除会计师事务所以外的代理记账机构审批（资格申请）办事指南》且予以公示公开，并在全面启动承诺制审批后，编制了承诺</w:t>
      </w:r>
      <w:r>
        <w:rPr>
          <w:rFonts w:hint="default" w:ascii="仿宋_GB2312" w:hAnsi="Times New Roman" w:eastAsia="仿宋_GB2312" w:cs="仿宋_GB2312"/>
          <w:kern w:val="2"/>
          <w:sz w:val="32"/>
          <w:szCs w:val="32"/>
          <w:lang w:val="en-US" w:eastAsia="zh-CN" w:bidi="ar"/>
        </w:rPr>
        <w:t>事项告知书、承诺书示范文本</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规范办理流程</w:t>
      </w:r>
      <w:r>
        <w:rPr>
          <w:rFonts w:hint="eastAsia" w:ascii="仿宋_GB2312" w:hAnsi="Times New Roman" w:eastAsia="仿宋_GB2312" w:cs="仿宋_GB2312"/>
          <w:kern w:val="2"/>
          <w:sz w:val="32"/>
          <w:szCs w:val="32"/>
          <w:lang w:val="en-US" w:eastAsia="zh-CN" w:bidi="ar"/>
        </w:rPr>
        <w:t>。同时，提前告知</w:t>
      </w:r>
      <w:r>
        <w:rPr>
          <w:rFonts w:hint="default" w:ascii="仿宋_GB2312" w:hAnsi="Times New Roman" w:eastAsia="仿宋_GB2312" w:cs="仿宋_GB2312"/>
          <w:kern w:val="2"/>
          <w:sz w:val="32"/>
          <w:szCs w:val="32"/>
          <w:lang w:val="en-US" w:eastAsia="zh-CN" w:bidi="ar"/>
        </w:rPr>
        <w:t>事后核验事项与重点及违法违规后果</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对办事企业的存在困惑及时通过QQ服务群或电联沟通解释</w:t>
      </w:r>
      <w:r>
        <w:rPr>
          <w:rFonts w:hint="eastAsia" w:ascii="仿宋_GB2312" w:hAnsi="Times New Roman" w:eastAsia="仿宋_GB2312" w:cs="仿宋_GB2312"/>
          <w:kern w:val="2"/>
          <w:sz w:val="32"/>
          <w:szCs w:val="32"/>
          <w:lang w:val="en-US" w:eastAsia="zh-CN" w:bidi="ar"/>
        </w:rPr>
        <w:t>。</w:t>
      </w:r>
    </w:p>
    <w:p w14:paraId="7D8C291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二、存在问题和困难</w:t>
      </w:r>
    </w:p>
    <w:p w14:paraId="327E2534">
      <w:pPr>
        <w:spacing w:line="560" w:lineRule="exact"/>
        <w:ind w:firstLine="630"/>
        <w:rPr>
          <w:rFonts w:hint="default" w:ascii="仿宋_GB2312" w:hAns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一是</w:t>
      </w:r>
      <w:r>
        <w:rPr>
          <w:rFonts w:hint="default" w:ascii="仿宋_GB2312" w:hAnsi="Times New Roman" w:eastAsia="仿宋_GB2312" w:cs="仿宋_GB2312"/>
          <w:kern w:val="2"/>
          <w:sz w:val="32"/>
          <w:szCs w:val="32"/>
          <w:lang w:val="en-US" w:eastAsia="zh-CN" w:bidi="ar"/>
        </w:rPr>
        <w:t>代理记账业务收费标准混乱。在收费标准方面，各代理记账机构之间差距较大，有的甚至恶意低价竞争，有的对自身经营收入核算不规范，隐性收入现象普遍，对代理记账行业的发展造成了不利影响。</w:t>
      </w:r>
    </w:p>
    <w:p w14:paraId="52C865EE">
      <w:pPr>
        <w:pStyle w:val="5"/>
        <w:keepNext w:val="0"/>
        <w:keepLines w:val="0"/>
        <w:pageBreakBefore w:val="0"/>
        <w:widowControl w:val="0"/>
        <w:kinsoku/>
        <w:wordWrap/>
        <w:overflowPunct/>
        <w:topLinePunct w:val="0"/>
        <w:autoSpaceDE/>
        <w:autoSpaceDN/>
        <w:bidi w:val="0"/>
        <w:adjustRightInd/>
        <w:spacing w:line="570" w:lineRule="exact"/>
        <w:textAlignment w:val="auto"/>
        <w:rPr>
          <w:rFonts w:hint="eastAsia" w:ascii="仿宋_GB2312" w:hAnsi="仿宋" w:eastAsia="仿宋_GB2312" w:cs="Times New Roman"/>
          <w:kern w:val="2"/>
          <w:sz w:val="32"/>
          <w:szCs w:val="32"/>
          <w:lang w:val="en-US" w:eastAsia="zh-CN" w:bidi="ar-SA"/>
        </w:rPr>
      </w:pPr>
      <w:r>
        <w:rPr>
          <w:rFonts w:hint="eastAsia" w:ascii="仿宋_GB2312" w:eastAsia="仿宋_GB2312"/>
          <w:sz w:val="32"/>
          <w:szCs w:val="32"/>
          <w:lang w:val="en-US" w:eastAsia="zh-CN"/>
        </w:rPr>
        <w:t>二</w:t>
      </w:r>
      <w:r>
        <w:rPr>
          <w:rFonts w:hint="eastAsia" w:ascii="仿宋_GB2312" w:hAnsi="Times New Roman" w:eastAsia="仿宋_GB2312" w:cs="仿宋_GB2312"/>
          <w:kern w:val="2"/>
          <w:sz w:val="32"/>
          <w:szCs w:val="32"/>
          <w:lang w:val="en-US" w:eastAsia="zh-CN" w:bidi="ar"/>
        </w:rPr>
        <w:t>是</w:t>
      </w:r>
      <w:r>
        <w:rPr>
          <w:rFonts w:hint="default" w:ascii="仿宋_GB2312" w:hAnsi="Times New Roman" w:eastAsia="仿宋_GB2312" w:cs="仿宋_GB2312"/>
          <w:kern w:val="2"/>
          <w:sz w:val="32"/>
          <w:szCs w:val="32"/>
          <w:lang w:val="en-US" w:eastAsia="zh-CN" w:bidi="ar"/>
        </w:rPr>
        <w:t>代理记账机构的潜力没有得到充分开发。目前代理记账机构数量不断增加，但总体规模普遍较小，代理业务范围不广。代理业务的范围大多局限于简单的会计核算，有的延伸到代理纳税申报。但真正能提供会计、税务筹划、纳税申报、内部审计、工商税务登记年检、财税咨询等全方位会计服务的机构却少之又少。</w:t>
      </w:r>
    </w:p>
    <w:p w14:paraId="6EAF61C2">
      <w:pPr>
        <w:numPr>
          <w:ilvl w:val="0"/>
          <w:numId w:val="1"/>
        </w:num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下一步工作措施及有关建议</w:t>
      </w:r>
    </w:p>
    <w:p w14:paraId="56C04F4F">
      <w:pPr>
        <w:numPr>
          <w:ilvl w:val="0"/>
          <w:numId w:val="0"/>
        </w:numPr>
        <w:spacing w:line="540" w:lineRule="exact"/>
        <w:ind w:firstLine="640" w:firstLineChars="200"/>
        <w:rPr>
          <w:rFonts w:hint="eastAsia" w:ascii="仿宋_GB2312" w:eastAsia="仿宋_GB2312"/>
          <w:kern w:val="2"/>
          <w:sz w:val="32"/>
          <w:szCs w:val="32"/>
        </w:rPr>
      </w:pPr>
      <w:r>
        <w:rPr>
          <w:rFonts w:hint="eastAsia" w:ascii="仿宋_GB2312" w:hAnsi="Times New Roman" w:eastAsia="仿宋_GB2312" w:cs="仿宋_GB2312"/>
          <w:kern w:val="2"/>
          <w:sz w:val="32"/>
          <w:szCs w:val="32"/>
          <w:lang w:val="en-US" w:eastAsia="zh-CN" w:bidi="ar"/>
        </w:rPr>
        <w:t>我局将继续严格执行行政许可及服务事项标准化工作流程，</w:t>
      </w:r>
      <w:r>
        <w:rPr>
          <w:rFonts w:hint="eastAsia" w:ascii="仿宋_GB2312" w:hAnsi="仿宋" w:eastAsia="仿宋_GB2312" w:cs="Times New Roman"/>
          <w:kern w:val="2"/>
          <w:sz w:val="32"/>
          <w:szCs w:val="32"/>
          <w:lang w:val="en-US" w:eastAsia="zh-CN" w:bidi="ar-SA"/>
        </w:rPr>
        <w:t>做好行政许可审批工作。继续对代理记账机构进行监督检查，</w:t>
      </w:r>
      <w:r>
        <w:rPr>
          <w:rFonts w:hint="eastAsia" w:ascii="仿宋_GB2312" w:eastAsia="仿宋_GB2312"/>
          <w:kern w:val="2"/>
          <w:sz w:val="32"/>
          <w:szCs w:val="32"/>
        </w:rPr>
        <w:t>加强和市场监管等部门的信息共享，及时发现纠正代理记账机构“有照无证”</w:t>
      </w:r>
      <w:r>
        <w:rPr>
          <w:rFonts w:hint="eastAsia" w:ascii="仿宋_GB2312" w:eastAsia="仿宋_GB2312"/>
          <w:kern w:val="2"/>
          <w:sz w:val="32"/>
          <w:szCs w:val="32"/>
          <w:lang w:eastAsia="zh-CN"/>
        </w:rPr>
        <w:t>“</w:t>
      </w:r>
      <w:r>
        <w:rPr>
          <w:rFonts w:hint="eastAsia" w:ascii="仿宋_GB2312" w:eastAsia="仿宋_GB2312"/>
          <w:kern w:val="2"/>
          <w:sz w:val="32"/>
          <w:szCs w:val="32"/>
        </w:rPr>
        <w:t>无证无照</w:t>
      </w:r>
      <w:r>
        <w:rPr>
          <w:rFonts w:hint="eastAsia" w:ascii="仿宋_GB2312" w:eastAsia="仿宋_GB2312"/>
          <w:kern w:val="2"/>
          <w:sz w:val="32"/>
          <w:szCs w:val="32"/>
          <w:lang w:eastAsia="zh-CN"/>
        </w:rPr>
        <w:t>”</w:t>
      </w:r>
      <w:r>
        <w:rPr>
          <w:rFonts w:hint="eastAsia" w:ascii="仿宋_GB2312" w:eastAsia="仿宋_GB2312"/>
          <w:kern w:val="2"/>
          <w:sz w:val="32"/>
          <w:szCs w:val="32"/>
        </w:rPr>
        <w:t>等不规范行为，切实维护会计服务市场秩序。</w:t>
      </w:r>
      <w:r>
        <w:rPr>
          <w:rFonts w:hint="eastAsia" w:ascii="仿宋_GB2312" w:hAnsi="仿宋" w:eastAsia="仿宋_GB2312" w:cs="Times New Roman"/>
          <w:kern w:val="2"/>
          <w:sz w:val="32"/>
          <w:szCs w:val="32"/>
          <w:lang w:val="en-US" w:eastAsia="zh-CN" w:bidi="ar-SA"/>
        </w:rPr>
        <w:t>大力推进代理机构诚信建设和信用分级监管，对严重失信机构和人员，记入会计领域失信名单，并加大公开曝光力度。加强财政监督检查人员及审批人员的培训，不断提升监管水平。</w:t>
      </w:r>
    </w:p>
    <w:p w14:paraId="5AF55A0C">
      <w:pPr>
        <w:rPr>
          <w:rFonts w:ascii="黑体" w:hAnsi="Tahoma" w:eastAsia="黑体"/>
        </w:rPr>
      </w:pPr>
    </w:p>
    <w:p w14:paraId="4BBE59EC">
      <w:pPr>
        <w:rPr>
          <w:rFonts w:ascii="黑体" w:hAnsi="Tahoma" w:eastAsia="黑体"/>
        </w:rPr>
      </w:pPr>
    </w:p>
    <w:p w14:paraId="1A612046">
      <w:pPr>
        <w:rPr>
          <w:rFonts w:ascii="黑体" w:hAnsi="Tahoma" w:eastAsia="黑体"/>
        </w:rPr>
      </w:pPr>
    </w:p>
    <w:p w14:paraId="2B26E4A5">
      <w:pPr>
        <w:tabs>
          <w:tab w:val="left" w:pos="3435"/>
        </w:tabs>
        <w:ind w:firstLine="4515" w:firstLineChars="2150"/>
        <w:rPr>
          <w:rFonts w:hint="eastAsia" w:ascii="黑体" w:hAnsi="Tahoma" w:eastAsia="黑体"/>
          <w:lang w:val="en-US" w:eastAsia="zh-CN"/>
        </w:rPr>
      </w:pPr>
      <w:r>
        <w:rPr>
          <w:rFonts w:hint="eastAsia" w:ascii="黑体" w:hAnsi="Tahoma" w:eastAsia="黑体"/>
          <w:lang w:val="en-US" w:eastAsia="zh-CN"/>
        </w:rPr>
        <w:t xml:space="preserve">                                                                     </w:t>
      </w:r>
    </w:p>
    <w:p w14:paraId="234F10E8">
      <w:pPr>
        <w:keepNext w:val="0"/>
        <w:keepLines w:val="0"/>
        <w:pageBreakBefore w:val="0"/>
        <w:kinsoku/>
        <w:topLinePunct w:val="0"/>
        <w:bidi w:val="0"/>
        <w:spacing w:line="570" w:lineRule="exact"/>
        <w:ind w:firstLine="5760" w:firstLineChars="18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广州市花都区财政局</w:t>
      </w:r>
    </w:p>
    <w:p w14:paraId="0C8BCFEF">
      <w:pPr>
        <w:keepNext w:val="0"/>
        <w:keepLines w:val="0"/>
        <w:pageBreakBefore w:val="0"/>
        <w:kinsoku/>
        <w:topLinePunct w:val="0"/>
        <w:bidi w:val="0"/>
        <w:spacing w:line="570" w:lineRule="exact"/>
        <w:ind w:right="840" w:rightChars="400"/>
        <w:jc w:val="righ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eastAsia="zh-CN"/>
        </w:rPr>
        <w:t>日</w:t>
      </w:r>
    </w:p>
    <w:p w14:paraId="5151B7C0">
      <w:pPr>
        <w:spacing w:line="520" w:lineRule="exact"/>
        <w:jc w:val="left"/>
        <w:rPr>
          <w:rFonts w:hint="eastAsia" w:ascii="黑体" w:hAnsi="黑体" w:eastAsia="黑体" w:cs="黑体"/>
          <w:sz w:val="32"/>
          <w:szCs w:val="32"/>
        </w:rPr>
      </w:pPr>
    </w:p>
    <w:p w14:paraId="245189E8">
      <w:pPr>
        <w:spacing w:line="520" w:lineRule="exact"/>
        <w:jc w:val="left"/>
        <w:rPr>
          <w:rFonts w:hint="eastAsia" w:ascii="黑体" w:hAnsi="黑体" w:eastAsia="黑体" w:cs="黑体"/>
          <w:sz w:val="32"/>
          <w:szCs w:val="32"/>
        </w:rPr>
      </w:pPr>
    </w:p>
    <w:p w14:paraId="660B2E71">
      <w:pPr>
        <w:spacing w:line="520" w:lineRule="exact"/>
        <w:jc w:val="left"/>
        <w:rPr>
          <w:rFonts w:hint="eastAsia" w:ascii="黑体" w:hAnsi="黑体" w:eastAsia="黑体" w:cs="黑体"/>
          <w:sz w:val="32"/>
          <w:szCs w:val="32"/>
        </w:rPr>
      </w:pPr>
    </w:p>
    <w:p w14:paraId="733A5CF7">
      <w:pPr>
        <w:spacing w:line="520" w:lineRule="exact"/>
        <w:jc w:val="left"/>
        <w:rPr>
          <w:rFonts w:hint="eastAsia" w:ascii="黑体" w:hAnsi="黑体" w:eastAsia="黑体" w:cs="黑体"/>
          <w:sz w:val="32"/>
          <w:szCs w:val="32"/>
        </w:rPr>
      </w:pPr>
    </w:p>
    <w:p w14:paraId="13952B55">
      <w:pPr>
        <w:spacing w:line="520" w:lineRule="exact"/>
        <w:jc w:val="left"/>
        <w:rPr>
          <w:rFonts w:hint="eastAsia" w:ascii="黑体" w:hAnsi="黑体" w:eastAsia="黑体" w:cs="黑体"/>
          <w:sz w:val="32"/>
          <w:szCs w:val="32"/>
        </w:rPr>
      </w:pPr>
    </w:p>
    <w:p w14:paraId="5711C04A">
      <w:pPr>
        <w:spacing w:line="520" w:lineRule="exact"/>
        <w:jc w:val="left"/>
        <w:rPr>
          <w:rFonts w:hint="eastAsia" w:ascii="黑体" w:hAnsi="黑体" w:eastAsia="黑体" w:cs="黑体"/>
          <w:sz w:val="32"/>
          <w:szCs w:val="32"/>
        </w:rPr>
      </w:pPr>
    </w:p>
    <w:p w14:paraId="2C49C394">
      <w:pPr>
        <w:spacing w:line="520" w:lineRule="exact"/>
        <w:jc w:val="left"/>
        <w:rPr>
          <w:rFonts w:hint="eastAsia" w:ascii="黑体" w:hAnsi="黑体" w:eastAsia="黑体" w:cs="黑体"/>
          <w:sz w:val="32"/>
          <w:szCs w:val="32"/>
        </w:rPr>
      </w:pPr>
    </w:p>
    <w:p w14:paraId="070ADE5B">
      <w:pPr>
        <w:spacing w:line="520" w:lineRule="exact"/>
        <w:jc w:val="left"/>
        <w:rPr>
          <w:rFonts w:hint="eastAsia" w:ascii="黑体" w:hAnsi="黑体" w:eastAsia="黑体" w:cs="黑体"/>
          <w:sz w:val="32"/>
          <w:szCs w:val="32"/>
        </w:rPr>
      </w:pPr>
    </w:p>
    <w:p w14:paraId="62A5D38B">
      <w:pPr>
        <w:spacing w:line="520" w:lineRule="exact"/>
        <w:jc w:val="left"/>
        <w:rPr>
          <w:rFonts w:hint="eastAsia" w:ascii="黑体" w:hAnsi="黑体" w:eastAsia="黑体" w:cs="黑体"/>
          <w:sz w:val="32"/>
          <w:szCs w:val="32"/>
        </w:rPr>
      </w:pPr>
    </w:p>
    <w:p w14:paraId="2C10ABFD">
      <w:pPr>
        <w:spacing w:line="520" w:lineRule="exact"/>
        <w:jc w:val="left"/>
        <w:rPr>
          <w:rFonts w:hint="eastAsia" w:ascii="黑体" w:hAnsi="黑体" w:eastAsia="黑体" w:cs="黑体"/>
          <w:sz w:val="32"/>
          <w:szCs w:val="32"/>
        </w:rPr>
      </w:pPr>
    </w:p>
    <w:p w14:paraId="0B781493">
      <w:pPr>
        <w:spacing w:line="520" w:lineRule="exact"/>
        <w:jc w:val="left"/>
        <w:rPr>
          <w:rFonts w:hint="eastAsia" w:ascii="黑体" w:hAnsi="黑体" w:eastAsia="黑体" w:cs="黑体"/>
          <w:sz w:val="32"/>
          <w:szCs w:val="32"/>
        </w:rPr>
      </w:pPr>
    </w:p>
    <w:p w14:paraId="17DF94DF">
      <w:pPr>
        <w:spacing w:line="520" w:lineRule="exact"/>
        <w:jc w:val="left"/>
        <w:rPr>
          <w:rFonts w:hint="eastAsia" w:ascii="黑体" w:hAnsi="黑体" w:eastAsia="黑体" w:cs="黑体"/>
          <w:sz w:val="32"/>
          <w:szCs w:val="32"/>
        </w:rPr>
      </w:pPr>
    </w:p>
    <w:p w14:paraId="0FBFFDA3">
      <w:pPr>
        <w:spacing w:line="520" w:lineRule="exact"/>
        <w:jc w:val="left"/>
        <w:rPr>
          <w:rFonts w:hint="eastAsia" w:ascii="黑体" w:hAnsi="黑体" w:eastAsia="黑体" w:cs="黑体"/>
          <w:sz w:val="32"/>
          <w:szCs w:val="32"/>
        </w:rPr>
        <w:sectPr>
          <w:footerReference r:id="rId3" w:type="default"/>
          <w:pgSz w:w="11906" w:h="16838"/>
          <w:pgMar w:top="1134" w:right="1134" w:bottom="1134" w:left="1418" w:header="851" w:footer="850" w:gutter="0"/>
          <w:cols w:space="0" w:num="1"/>
          <w:rtlGutter w:val="0"/>
          <w:docGrid w:type="lines" w:linePitch="438" w:charSpace="0"/>
        </w:sectPr>
      </w:pPr>
    </w:p>
    <w:p w14:paraId="2023BA9E">
      <w:pPr>
        <w:rPr>
          <w:rFonts w:hint="eastAsia" w:ascii="Tahoma" w:hAnsi="Tahoma"/>
        </w:rPr>
      </w:pPr>
    </w:p>
    <w:p w14:paraId="23968C7B">
      <w:pPr>
        <w:widowControl/>
        <w:spacing w:line="72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广州市花都区</w:t>
      </w:r>
      <w:r>
        <w:rPr>
          <w:rFonts w:hint="eastAsia" w:ascii="方正小标宋简体" w:hAnsi="方正小标宋简体" w:eastAsia="方正小标宋简体" w:cs="方正小标宋简体"/>
          <w:b w:val="0"/>
          <w:bCs/>
          <w:kern w:val="0"/>
          <w:sz w:val="44"/>
          <w:szCs w:val="44"/>
          <w:lang w:val="en-US" w:eastAsia="zh-CN"/>
        </w:rPr>
        <w:t>财政局2024</w:t>
      </w:r>
      <w:r>
        <w:rPr>
          <w:rFonts w:hint="eastAsia" w:ascii="方正小标宋简体" w:hAnsi="方正小标宋简体" w:eastAsia="方正小标宋简体" w:cs="方正小标宋简体"/>
          <w:b w:val="0"/>
          <w:bCs/>
          <w:kern w:val="0"/>
          <w:sz w:val="44"/>
          <w:szCs w:val="44"/>
        </w:rPr>
        <w:t>年度</w:t>
      </w:r>
      <w:r>
        <w:rPr>
          <w:rFonts w:hint="eastAsia" w:ascii="方正小标宋简体" w:hAnsi="方正小标宋简体" w:eastAsia="方正小标宋简体" w:cs="方正小标宋简体"/>
          <w:b w:val="0"/>
          <w:bCs/>
          <w:sz w:val="44"/>
          <w:szCs w:val="44"/>
        </w:rPr>
        <w:t>行政许可实施和监督管理</w:t>
      </w:r>
      <w:r>
        <w:rPr>
          <w:rFonts w:hint="eastAsia" w:ascii="方正小标宋简体" w:hAnsi="方正小标宋简体" w:eastAsia="方正小标宋简体" w:cs="方正小标宋简体"/>
          <w:b w:val="0"/>
          <w:bCs/>
          <w:kern w:val="0"/>
          <w:sz w:val="44"/>
          <w:szCs w:val="44"/>
        </w:rPr>
        <w:t>情况表</w:t>
      </w:r>
    </w:p>
    <w:p w14:paraId="72B8081F">
      <w:pPr>
        <w:rPr>
          <w:rFonts w:hint="eastAsia" w:ascii="方正小标宋简体" w:hAnsi="方正小标宋简体" w:eastAsia="方正小标宋简体" w:cs="方正小标宋简体"/>
          <w:b w:val="0"/>
          <w:bCs/>
        </w:rPr>
      </w:pPr>
    </w:p>
    <w:tbl>
      <w:tblPr>
        <w:tblStyle w:val="9"/>
        <w:tblW w:w="14976" w:type="dxa"/>
        <w:tblInd w:w="0" w:type="dxa"/>
        <w:tblLayout w:type="fixed"/>
        <w:tblCellMar>
          <w:top w:w="0" w:type="dxa"/>
          <w:left w:w="108" w:type="dxa"/>
          <w:bottom w:w="0" w:type="dxa"/>
          <w:right w:w="108" w:type="dxa"/>
        </w:tblCellMar>
      </w:tblPr>
      <w:tblGrid>
        <w:gridCol w:w="506"/>
        <w:gridCol w:w="598"/>
        <w:gridCol w:w="600"/>
        <w:gridCol w:w="658"/>
        <w:gridCol w:w="645"/>
        <w:gridCol w:w="578"/>
        <w:gridCol w:w="549"/>
        <w:gridCol w:w="668"/>
        <w:gridCol w:w="600"/>
        <w:gridCol w:w="573"/>
        <w:gridCol w:w="682"/>
        <w:gridCol w:w="613"/>
        <w:gridCol w:w="682"/>
        <w:gridCol w:w="600"/>
        <w:gridCol w:w="600"/>
        <w:gridCol w:w="709"/>
        <w:gridCol w:w="723"/>
        <w:gridCol w:w="654"/>
        <w:gridCol w:w="682"/>
        <w:gridCol w:w="641"/>
        <w:gridCol w:w="942"/>
        <w:gridCol w:w="641"/>
        <w:gridCol w:w="832"/>
      </w:tblGrid>
      <w:tr w14:paraId="12AE02D7">
        <w:tblPrEx>
          <w:tblCellMar>
            <w:top w:w="0" w:type="dxa"/>
            <w:left w:w="108" w:type="dxa"/>
            <w:bottom w:w="0" w:type="dxa"/>
            <w:right w:w="108" w:type="dxa"/>
          </w:tblCellMar>
        </w:tblPrEx>
        <w:trPr>
          <w:trHeight w:val="432" w:hRule="atLeast"/>
        </w:trPr>
        <w:tc>
          <w:tcPr>
            <w:tcW w:w="506" w:type="dxa"/>
            <w:vMerge w:val="restart"/>
            <w:tcBorders>
              <w:top w:val="single" w:color="auto" w:sz="4" w:space="0"/>
              <w:left w:val="single" w:color="auto" w:sz="4" w:space="0"/>
              <w:bottom w:val="single" w:color="auto" w:sz="4" w:space="0"/>
              <w:right w:val="single" w:color="auto" w:sz="4" w:space="0"/>
            </w:tcBorders>
            <w:vAlign w:val="center"/>
          </w:tcPr>
          <w:p w14:paraId="48B02951">
            <w:pPr>
              <w:spacing w:line="260" w:lineRule="exact"/>
              <w:jc w:val="center"/>
              <w:rPr>
                <w:rFonts w:ascii="宋体" w:hAnsi="宋体"/>
                <w:szCs w:val="21"/>
              </w:rPr>
            </w:pPr>
            <w:r>
              <w:rPr>
                <w:rFonts w:ascii="宋体" w:hAnsi="宋体"/>
                <w:szCs w:val="21"/>
              </w:rPr>
              <w:t>序号</w:t>
            </w:r>
          </w:p>
        </w:tc>
        <w:tc>
          <w:tcPr>
            <w:tcW w:w="1198" w:type="dxa"/>
            <w:gridSpan w:val="2"/>
            <w:tcBorders>
              <w:top w:val="single" w:color="auto" w:sz="4" w:space="0"/>
              <w:left w:val="nil"/>
              <w:bottom w:val="single" w:color="auto" w:sz="4" w:space="0"/>
              <w:right w:val="single" w:color="auto" w:sz="4" w:space="0"/>
            </w:tcBorders>
            <w:vAlign w:val="center"/>
          </w:tcPr>
          <w:p w14:paraId="3EBB4105">
            <w:pPr>
              <w:spacing w:line="260" w:lineRule="exact"/>
              <w:jc w:val="center"/>
              <w:rPr>
                <w:rFonts w:ascii="宋体" w:hAnsi="宋体"/>
                <w:szCs w:val="21"/>
              </w:rPr>
            </w:pPr>
            <w:r>
              <w:rPr>
                <w:rFonts w:ascii="宋体" w:hAnsi="宋体"/>
                <w:szCs w:val="21"/>
              </w:rPr>
              <w:t>审批事项</w:t>
            </w:r>
          </w:p>
        </w:tc>
        <w:tc>
          <w:tcPr>
            <w:tcW w:w="658" w:type="dxa"/>
            <w:vMerge w:val="restart"/>
            <w:tcBorders>
              <w:top w:val="single" w:color="auto" w:sz="4" w:space="0"/>
              <w:left w:val="single" w:color="auto" w:sz="4" w:space="0"/>
              <w:right w:val="single" w:color="auto" w:sz="4" w:space="0"/>
            </w:tcBorders>
            <w:vAlign w:val="center"/>
          </w:tcPr>
          <w:p w14:paraId="73A02E43">
            <w:pPr>
              <w:tabs>
                <w:tab w:val="left" w:pos="939"/>
              </w:tabs>
              <w:spacing w:line="260" w:lineRule="exact"/>
              <w:jc w:val="left"/>
              <w:rPr>
                <w:rFonts w:hint="default" w:ascii="宋体" w:hAnsi="宋体" w:eastAsia="宋体"/>
                <w:szCs w:val="21"/>
                <w:lang w:val="en-US" w:eastAsia="zh-CN"/>
              </w:rPr>
            </w:pPr>
            <w:r>
              <w:rPr>
                <w:rFonts w:hint="eastAsia" w:ascii="宋体" w:hAnsi="宋体"/>
                <w:szCs w:val="21"/>
                <w:lang w:val="en-US" w:eastAsia="zh-CN"/>
              </w:rPr>
              <w:t>是否纳入区行政许可事项目录</w:t>
            </w:r>
          </w:p>
        </w:tc>
        <w:tc>
          <w:tcPr>
            <w:tcW w:w="645" w:type="dxa"/>
            <w:vMerge w:val="restart"/>
            <w:tcBorders>
              <w:top w:val="single" w:color="auto" w:sz="4" w:space="0"/>
              <w:left w:val="single" w:color="auto" w:sz="4" w:space="0"/>
              <w:right w:val="single" w:color="auto" w:sz="4" w:space="0"/>
            </w:tcBorders>
            <w:vAlign w:val="center"/>
          </w:tcPr>
          <w:p w14:paraId="62BC1B8C">
            <w:pPr>
              <w:tabs>
                <w:tab w:val="left" w:pos="892"/>
              </w:tabs>
              <w:bidi w:val="0"/>
              <w:jc w:val="left"/>
              <w:rPr>
                <w:rFonts w:hint="default" w:ascii="Times New Roman" w:hAnsi="Times New Roman" w:eastAsia="宋体" w:cs="Times New Roman"/>
                <w:kern w:val="2"/>
                <w:sz w:val="21"/>
                <w:szCs w:val="24"/>
                <w:lang w:val="en-US" w:eastAsia="zh-CN" w:bidi="ar-SA"/>
              </w:rPr>
            </w:pPr>
            <w:r>
              <w:rPr>
                <w:rFonts w:hint="eastAsia" w:ascii="宋体" w:hAnsi="宋体"/>
                <w:szCs w:val="21"/>
                <w:lang w:val="en-US" w:eastAsia="zh-CN"/>
              </w:rPr>
              <w:t>是否进驻省政务服务网</w:t>
            </w:r>
          </w:p>
        </w:tc>
        <w:tc>
          <w:tcPr>
            <w:tcW w:w="4945" w:type="dxa"/>
            <w:gridSpan w:val="8"/>
            <w:tcBorders>
              <w:top w:val="single" w:color="auto" w:sz="4" w:space="0"/>
              <w:left w:val="single" w:color="auto" w:sz="4" w:space="0"/>
              <w:bottom w:val="single" w:color="auto" w:sz="4" w:space="0"/>
              <w:right w:val="single" w:color="auto" w:sz="4" w:space="0"/>
            </w:tcBorders>
            <w:vAlign w:val="center"/>
          </w:tcPr>
          <w:p w14:paraId="7E82BD18">
            <w:pPr>
              <w:spacing w:line="260" w:lineRule="exact"/>
              <w:jc w:val="center"/>
              <w:rPr>
                <w:rFonts w:ascii="宋体" w:hAnsi="宋体"/>
                <w:szCs w:val="21"/>
              </w:rPr>
            </w:pPr>
            <w:r>
              <w:rPr>
                <w:rFonts w:ascii="宋体" w:hAnsi="宋体"/>
                <w:szCs w:val="21"/>
              </w:rPr>
              <w:t>全年业务量（件）</w:t>
            </w:r>
          </w:p>
        </w:tc>
        <w:tc>
          <w:tcPr>
            <w:tcW w:w="3286" w:type="dxa"/>
            <w:gridSpan w:val="5"/>
            <w:tcBorders>
              <w:top w:val="single" w:color="auto" w:sz="4" w:space="0"/>
              <w:left w:val="single" w:color="auto" w:sz="4" w:space="0"/>
              <w:bottom w:val="single" w:color="auto" w:sz="4" w:space="0"/>
              <w:right w:val="single" w:color="auto" w:sz="4" w:space="0"/>
            </w:tcBorders>
            <w:vAlign w:val="center"/>
          </w:tcPr>
          <w:p w14:paraId="556914BA">
            <w:pPr>
              <w:spacing w:line="260" w:lineRule="exact"/>
              <w:jc w:val="center"/>
              <w:rPr>
                <w:rFonts w:ascii="宋体" w:hAnsi="宋体"/>
                <w:szCs w:val="21"/>
              </w:rPr>
            </w:pPr>
            <w:r>
              <w:rPr>
                <w:rFonts w:ascii="宋体" w:hAnsi="宋体"/>
                <w:szCs w:val="21"/>
              </w:rPr>
              <w:t>实施过程</w:t>
            </w:r>
          </w:p>
        </w:tc>
        <w:tc>
          <w:tcPr>
            <w:tcW w:w="3738" w:type="dxa"/>
            <w:gridSpan w:val="5"/>
            <w:tcBorders>
              <w:top w:val="single" w:color="auto" w:sz="4" w:space="0"/>
              <w:left w:val="single" w:color="auto" w:sz="4" w:space="0"/>
              <w:bottom w:val="single" w:color="auto" w:sz="4" w:space="0"/>
              <w:right w:val="single" w:color="auto" w:sz="4" w:space="0"/>
            </w:tcBorders>
            <w:vAlign w:val="center"/>
          </w:tcPr>
          <w:p w14:paraId="7234F72F">
            <w:pPr>
              <w:spacing w:line="260" w:lineRule="exact"/>
              <w:jc w:val="center"/>
              <w:rPr>
                <w:rFonts w:ascii="宋体" w:hAnsi="宋体"/>
                <w:szCs w:val="21"/>
              </w:rPr>
            </w:pPr>
            <w:r>
              <w:rPr>
                <w:rFonts w:ascii="宋体" w:hAnsi="宋体"/>
                <w:szCs w:val="21"/>
              </w:rPr>
              <w:t>监督管理</w:t>
            </w:r>
          </w:p>
        </w:tc>
      </w:tr>
      <w:tr w14:paraId="71B3CACB">
        <w:tblPrEx>
          <w:tblCellMar>
            <w:top w:w="0" w:type="dxa"/>
            <w:left w:w="108" w:type="dxa"/>
            <w:bottom w:w="0" w:type="dxa"/>
            <w:right w:w="108" w:type="dxa"/>
          </w:tblCellMar>
        </w:tblPrEx>
        <w:trPr>
          <w:trHeight w:val="2037" w:hRule="atLeast"/>
        </w:trPr>
        <w:tc>
          <w:tcPr>
            <w:tcW w:w="506" w:type="dxa"/>
            <w:vMerge w:val="continue"/>
            <w:tcBorders>
              <w:top w:val="single" w:color="auto" w:sz="4" w:space="0"/>
              <w:left w:val="single" w:color="auto" w:sz="4" w:space="0"/>
              <w:bottom w:val="single" w:color="auto" w:sz="4" w:space="0"/>
              <w:right w:val="single" w:color="auto" w:sz="4" w:space="0"/>
            </w:tcBorders>
            <w:vAlign w:val="center"/>
          </w:tcPr>
          <w:p w14:paraId="331A93A3">
            <w:pPr>
              <w:spacing w:line="260" w:lineRule="exact"/>
              <w:jc w:val="center"/>
              <w:rPr>
                <w:rFonts w:ascii="宋体" w:hAnsi="宋体"/>
                <w:szCs w:val="21"/>
              </w:rPr>
            </w:pPr>
          </w:p>
        </w:tc>
        <w:tc>
          <w:tcPr>
            <w:tcW w:w="598" w:type="dxa"/>
            <w:tcBorders>
              <w:top w:val="nil"/>
              <w:left w:val="nil"/>
              <w:bottom w:val="single" w:color="auto" w:sz="4" w:space="0"/>
              <w:right w:val="single" w:color="auto" w:sz="4" w:space="0"/>
            </w:tcBorders>
            <w:vAlign w:val="center"/>
          </w:tcPr>
          <w:p w14:paraId="718EF2AF">
            <w:pPr>
              <w:spacing w:line="260" w:lineRule="exact"/>
              <w:jc w:val="center"/>
              <w:rPr>
                <w:rFonts w:ascii="宋体" w:hAnsi="宋体"/>
                <w:szCs w:val="21"/>
              </w:rPr>
            </w:pPr>
            <w:r>
              <w:rPr>
                <w:rFonts w:ascii="宋体" w:hAnsi="宋体"/>
                <w:szCs w:val="21"/>
              </w:rPr>
              <w:t>事项</w:t>
            </w:r>
          </w:p>
          <w:p w14:paraId="7328F15C">
            <w:pPr>
              <w:spacing w:line="260" w:lineRule="exact"/>
              <w:jc w:val="center"/>
              <w:rPr>
                <w:rFonts w:ascii="宋体" w:hAnsi="宋体"/>
                <w:szCs w:val="21"/>
              </w:rPr>
            </w:pPr>
            <w:r>
              <w:rPr>
                <w:rFonts w:ascii="宋体" w:hAnsi="宋体"/>
                <w:szCs w:val="21"/>
              </w:rPr>
              <w:t>名称</w:t>
            </w:r>
          </w:p>
        </w:tc>
        <w:tc>
          <w:tcPr>
            <w:tcW w:w="600" w:type="dxa"/>
            <w:tcBorders>
              <w:top w:val="nil"/>
              <w:left w:val="nil"/>
              <w:bottom w:val="single" w:color="auto" w:sz="4" w:space="0"/>
              <w:right w:val="nil"/>
            </w:tcBorders>
            <w:vAlign w:val="center"/>
          </w:tcPr>
          <w:p w14:paraId="43C1D1FE">
            <w:pPr>
              <w:spacing w:line="260" w:lineRule="exact"/>
              <w:jc w:val="center"/>
              <w:rPr>
                <w:rFonts w:ascii="宋体" w:hAnsi="宋体"/>
                <w:szCs w:val="21"/>
              </w:rPr>
            </w:pPr>
            <w:r>
              <w:rPr>
                <w:rFonts w:ascii="宋体" w:hAnsi="宋体"/>
                <w:szCs w:val="21"/>
              </w:rPr>
              <w:t>子项</w:t>
            </w:r>
          </w:p>
          <w:p w14:paraId="70F8A648">
            <w:pPr>
              <w:spacing w:line="260" w:lineRule="exact"/>
              <w:jc w:val="center"/>
              <w:rPr>
                <w:rFonts w:ascii="宋体" w:hAnsi="宋体"/>
                <w:szCs w:val="21"/>
              </w:rPr>
            </w:pPr>
            <w:r>
              <w:rPr>
                <w:rFonts w:ascii="宋体" w:hAnsi="宋体"/>
                <w:szCs w:val="21"/>
              </w:rPr>
              <w:t>名称</w:t>
            </w:r>
          </w:p>
        </w:tc>
        <w:tc>
          <w:tcPr>
            <w:tcW w:w="658" w:type="dxa"/>
            <w:vMerge w:val="continue"/>
            <w:tcBorders>
              <w:left w:val="single" w:color="auto" w:sz="4" w:space="0"/>
              <w:bottom w:val="single" w:color="auto" w:sz="4" w:space="0"/>
              <w:right w:val="single" w:color="auto" w:sz="4" w:space="0"/>
            </w:tcBorders>
            <w:vAlign w:val="center"/>
          </w:tcPr>
          <w:p w14:paraId="6A00F679">
            <w:pPr>
              <w:spacing w:line="260" w:lineRule="exact"/>
              <w:jc w:val="center"/>
              <w:rPr>
                <w:rFonts w:ascii="宋体" w:hAnsi="宋体"/>
                <w:szCs w:val="21"/>
              </w:rPr>
            </w:pPr>
          </w:p>
        </w:tc>
        <w:tc>
          <w:tcPr>
            <w:tcW w:w="645" w:type="dxa"/>
            <w:vMerge w:val="continue"/>
            <w:tcBorders>
              <w:left w:val="single" w:color="auto" w:sz="4" w:space="0"/>
              <w:bottom w:val="single" w:color="auto" w:sz="4" w:space="0"/>
              <w:right w:val="single" w:color="auto" w:sz="4" w:space="0"/>
            </w:tcBorders>
            <w:vAlign w:val="center"/>
          </w:tcPr>
          <w:p w14:paraId="74E7C716">
            <w:pPr>
              <w:spacing w:line="260" w:lineRule="exact"/>
              <w:jc w:val="center"/>
              <w:rPr>
                <w:rFonts w:ascii="宋体" w:hAnsi="宋体"/>
                <w:szCs w:val="21"/>
              </w:rPr>
            </w:pPr>
          </w:p>
        </w:tc>
        <w:tc>
          <w:tcPr>
            <w:tcW w:w="578" w:type="dxa"/>
            <w:tcBorders>
              <w:top w:val="single" w:color="auto" w:sz="4" w:space="0"/>
              <w:left w:val="single" w:color="auto" w:sz="4" w:space="0"/>
              <w:bottom w:val="single" w:color="auto" w:sz="4" w:space="0"/>
              <w:right w:val="single" w:color="auto" w:sz="4" w:space="0"/>
            </w:tcBorders>
            <w:vAlign w:val="center"/>
          </w:tcPr>
          <w:p w14:paraId="6D72A6AC">
            <w:pPr>
              <w:spacing w:line="260" w:lineRule="exact"/>
              <w:jc w:val="center"/>
              <w:rPr>
                <w:rFonts w:ascii="宋体" w:hAnsi="宋体"/>
                <w:szCs w:val="21"/>
              </w:rPr>
            </w:pPr>
            <w:r>
              <w:rPr>
                <w:rFonts w:ascii="宋体" w:hAnsi="宋体"/>
                <w:szCs w:val="21"/>
              </w:rPr>
              <w:t>申请量</w:t>
            </w:r>
          </w:p>
        </w:tc>
        <w:tc>
          <w:tcPr>
            <w:tcW w:w="549" w:type="dxa"/>
            <w:tcBorders>
              <w:top w:val="single" w:color="auto" w:sz="4" w:space="0"/>
              <w:left w:val="nil"/>
              <w:bottom w:val="single" w:color="auto" w:sz="4" w:space="0"/>
              <w:right w:val="single" w:color="auto" w:sz="4" w:space="0"/>
            </w:tcBorders>
            <w:vAlign w:val="center"/>
          </w:tcPr>
          <w:p w14:paraId="682DF1C2">
            <w:pPr>
              <w:spacing w:line="260" w:lineRule="exact"/>
              <w:jc w:val="center"/>
              <w:rPr>
                <w:rFonts w:ascii="宋体" w:hAnsi="宋体"/>
                <w:szCs w:val="21"/>
              </w:rPr>
            </w:pPr>
            <w:r>
              <w:rPr>
                <w:rFonts w:ascii="宋体" w:hAnsi="宋体"/>
                <w:szCs w:val="21"/>
              </w:rPr>
              <w:t>受理量</w:t>
            </w:r>
          </w:p>
        </w:tc>
        <w:tc>
          <w:tcPr>
            <w:tcW w:w="668" w:type="dxa"/>
            <w:tcBorders>
              <w:top w:val="nil"/>
              <w:left w:val="nil"/>
              <w:bottom w:val="single" w:color="auto" w:sz="4" w:space="0"/>
              <w:right w:val="single" w:color="auto" w:sz="4" w:space="0"/>
            </w:tcBorders>
            <w:vAlign w:val="center"/>
          </w:tcPr>
          <w:p w14:paraId="0E7333C0">
            <w:pPr>
              <w:spacing w:line="260" w:lineRule="exact"/>
              <w:jc w:val="center"/>
              <w:rPr>
                <w:rFonts w:ascii="宋体" w:hAnsi="宋体"/>
                <w:szCs w:val="21"/>
              </w:rPr>
            </w:pPr>
            <w:r>
              <w:rPr>
                <w:rFonts w:ascii="宋体" w:hAnsi="宋体"/>
                <w:szCs w:val="21"/>
              </w:rPr>
              <w:t>不受理量</w:t>
            </w:r>
          </w:p>
        </w:tc>
        <w:tc>
          <w:tcPr>
            <w:tcW w:w="600" w:type="dxa"/>
            <w:tcBorders>
              <w:top w:val="nil"/>
              <w:left w:val="nil"/>
              <w:bottom w:val="single" w:color="auto" w:sz="4" w:space="0"/>
              <w:right w:val="single" w:color="auto" w:sz="4" w:space="0"/>
            </w:tcBorders>
            <w:vAlign w:val="center"/>
          </w:tcPr>
          <w:p w14:paraId="30C186A9">
            <w:pPr>
              <w:spacing w:line="260" w:lineRule="exact"/>
              <w:jc w:val="center"/>
              <w:rPr>
                <w:rFonts w:ascii="宋体" w:hAnsi="宋体"/>
                <w:szCs w:val="21"/>
              </w:rPr>
            </w:pPr>
            <w:r>
              <w:rPr>
                <w:rFonts w:ascii="宋体" w:hAnsi="宋体"/>
                <w:szCs w:val="21"/>
              </w:rPr>
              <w:t>办结量</w:t>
            </w:r>
          </w:p>
        </w:tc>
        <w:tc>
          <w:tcPr>
            <w:tcW w:w="573" w:type="dxa"/>
            <w:tcBorders>
              <w:top w:val="nil"/>
              <w:left w:val="nil"/>
              <w:bottom w:val="single" w:color="auto" w:sz="4" w:space="0"/>
              <w:right w:val="single" w:color="auto" w:sz="4" w:space="0"/>
            </w:tcBorders>
            <w:vAlign w:val="center"/>
          </w:tcPr>
          <w:p w14:paraId="091510EE">
            <w:pPr>
              <w:spacing w:line="260" w:lineRule="exact"/>
              <w:jc w:val="center"/>
              <w:rPr>
                <w:rFonts w:ascii="宋体" w:hAnsi="宋体"/>
                <w:szCs w:val="21"/>
              </w:rPr>
            </w:pPr>
            <w:r>
              <w:rPr>
                <w:rFonts w:ascii="宋体" w:hAnsi="宋体"/>
                <w:szCs w:val="21"/>
              </w:rPr>
              <w:t>审批同意量</w:t>
            </w:r>
          </w:p>
        </w:tc>
        <w:tc>
          <w:tcPr>
            <w:tcW w:w="682" w:type="dxa"/>
            <w:tcBorders>
              <w:top w:val="nil"/>
              <w:left w:val="nil"/>
              <w:bottom w:val="single" w:color="auto" w:sz="4" w:space="0"/>
              <w:right w:val="single" w:color="auto" w:sz="4" w:space="0"/>
            </w:tcBorders>
            <w:vAlign w:val="center"/>
          </w:tcPr>
          <w:p w14:paraId="635FC91A">
            <w:pPr>
              <w:spacing w:line="260" w:lineRule="exact"/>
              <w:jc w:val="center"/>
              <w:rPr>
                <w:rFonts w:ascii="宋体" w:hAnsi="宋体"/>
                <w:szCs w:val="21"/>
              </w:rPr>
            </w:pPr>
            <w:r>
              <w:rPr>
                <w:rFonts w:ascii="宋体" w:hAnsi="宋体"/>
                <w:szCs w:val="21"/>
              </w:rPr>
              <w:t>审批不同意量</w:t>
            </w:r>
          </w:p>
        </w:tc>
        <w:tc>
          <w:tcPr>
            <w:tcW w:w="613" w:type="dxa"/>
            <w:tcBorders>
              <w:top w:val="nil"/>
              <w:left w:val="nil"/>
              <w:bottom w:val="single" w:color="auto" w:sz="4" w:space="0"/>
              <w:right w:val="single" w:color="auto" w:sz="4" w:space="0"/>
            </w:tcBorders>
            <w:vAlign w:val="center"/>
          </w:tcPr>
          <w:p w14:paraId="0C63915E">
            <w:pPr>
              <w:spacing w:line="260" w:lineRule="exact"/>
              <w:jc w:val="center"/>
              <w:rPr>
                <w:rFonts w:ascii="宋体" w:hAnsi="宋体"/>
                <w:szCs w:val="21"/>
              </w:rPr>
            </w:pPr>
            <w:r>
              <w:rPr>
                <w:rFonts w:hint="eastAsia" w:ascii="宋体" w:hAnsi="宋体"/>
                <w:szCs w:val="21"/>
              </w:rPr>
              <w:t>网上受理量</w:t>
            </w:r>
          </w:p>
        </w:tc>
        <w:tc>
          <w:tcPr>
            <w:tcW w:w="682" w:type="dxa"/>
            <w:tcBorders>
              <w:top w:val="nil"/>
              <w:left w:val="nil"/>
              <w:bottom w:val="single" w:color="auto" w:sz="4" w:space="0"/>
              <w:right w:val="single" w:color="auto" w:sz="4" w:space="0"/>
            </w:tcBorders>
            <w:vAlign w:val="center"/>
          </w:tcPr>
          <w:p w14:paraId="2E6008D9">
            <w:pPr>
              <w:spacing w:line="260" w:lineRule="exact"/>
              <w:jc w:val="center"/>
              <w:rPr>
                <w:rFonts w:ascii="宋体" w:hAnsi="宋体"/>
                <w:szCs w:val="21"/>
              </w:rPr>
            </w:pPr>
            <w:r>
              <w:rPr>
                <w:rFonts w:ascii="宋体" w:hAnsi="宋体"/>
                <w:szCs w:val="21"/>
              </w:rPr>
              <w:t>网上全流程办结量</w:t>
            </w:r>
          </w:p>
        </w:tc>
        <w:tc>
          <w:tcPr>
            <w:tcW w:w="600" w:type="dxa"/>
            <w:tcBorders>
              <w:top w:val="nil"/>
              <w:left w:val="nil"/>
              <w:bottom w:val="single" w:color="auto" w:sz="4" w:space="0"/>
              <w:right w:val="single" w:color="auto" w:sz="4" w:space="0"/>
            </w:tcBorders>
            <w:vAlign w:val="center"/>
          </w:tcPr>
          <w:p w14:paraId="0C10D491">
            <w:pPr>
              <w:spacing w:line="260" w:lineRule="exact"/>
              <w:jc w:val="center"/>
              <w:rPr>
                <w:rFonts w:ascii="宋体" w:hAnsi="宋体"/>
                <w:szCs w:val="21"/>
              </w:rPr>
            </w:pPr>
            <w:r>
              <w:rPr>
                <w:rFonts w:ascii="宋体" w:hAnsi="宋体"/>
                <w:szCs w:val="21"/>
              </w:rPr>
              <w:t>法定办结期限</w:t>
            </w:r>
          </w:p>
        </w:tc>
        <w:tc>
          <w:tcPr>
            <w:tcW w:w="600" w:type="dxa"/>
            <w:tcBorders>
              <w:top w:val="nil"/>
              <w:left w:val="nil"/>
              <w:bottom w:val="single" w:color="auto" w:sz="4" w:space="0"/>
              <w:right w:val="single" w:color="auto" w:sz="4" w:space="0"/>
            </w:tcBorders>
            <w:vAlign w:val="center"/>
          </w:tcPr>
          <w:p w14:paraId="46276E59">
            <w:pPr>
              <w:spacing w:line="260" w:lineRule="exact"/>
              <w:jc w:val="center"/>
              <w:rPr>
                <w:rFonts w:ascii="宋体" w:hAnsi="宋体"/>
                <w:szCs w:val="21"/>
              </w:rPr>
            </w:pPr>
            <w:r>
              <w:rPr>
                <w:rFonts w:ascii="宋体" w:hAnsi="宋体"/>
                <w:szCs w:val="21"/>
              </w:rPr>
              <w:t>承诺办结期限</w:t>
            </w:r>
          </w:p>
        </w:tc>
        <w:tc>
          <w:tcPr>
            <w:tcW w:w="709" w:type="dxa"/>
            <w:tcBorders>
              <w:top w:val="nil"/>
              <w:left w:val="nil"/>
              <w:bottom w:val="single" w:color="auto" w:sz="4" w:space="0"/>
              <w:right w:val="single" w:color="auto" w:sz="4" w:space="0"/>
            </w:tcBorders>
            <w:vAlign w:val="center"/>
          </w:tcPr>
          <w:p w14:paraId="569B87EB">
            <w:pPr>
              <w:spacing w:line="260" w:lineRule="exact"/>
              <w:jc w:val="center"/>
              <w:rPr>
                <w:rFonts w:ascii="宋体" w:hAnsi="宋体"/>
                <w:szCs w:val="21"/>
              </w:rPr>
            </w:pPr>
            <w:r>
              <w:rPr>
                <w:rFonts w:ascii="宋体" w:hAnsi="宋体"/>
                <w:szCs w:val="21"/>
              </w:rPr>
              <w:t>实际平均办结时间</w:t>
            </w:r>
          </w:p>
        </w:tc>
        <w:tc>
          <w:tcPr>
            <w:tcW w:w="723" w:type="dxa"/>
            <w:tcBorders>
              <w:top w:val="nil"/>
              <w:left w:val="nil"/>
              <w:bottom w:val="single" w:color="auto" w:sz="4" w:space="0"/>
              <w:right w:val="single" w:color="auto" w:sz="4" w:space="0"/>
            </w:tcBorders>
            <w:vAlign w:val="center"/>
          </w:tcPr>
          <w:p w14:paraId="1B692F9E">
            <w:pPr>
              <w:spacing w:line="260" w:lineRule="exact"/>
              <w:jc w:val="center"/>
              <w:rPr>
                <w:rFonts w:ascii="宋体" w:hAnsi="宋体"/>
                <w:szCs w:val="21"/>
              </w:rPr>
            </w:pPr>
            <w:r>
              <w:rPr>
                <w:rFonts w:ascii="宋体" w:hAnsi="宋体"/>
                <w:szCs w:val="21"/>
              </w:rPr>
              <w:t>是否</w:t>
            </w:r>
            <w:r>
              <w:rPr>
                <w:rFonts w:hint="eastAsia" w:ascii="宋体" w:hAnsi="宋体"/>
                <w:szCs w:val="21"/>
              </w:rPr>
              <w:t>向社会</w:t>
            </w:r>
            <w:r>
              <w:rPr>
                <w:rFonts w:ascii="宋体" w:hAnsi="宋体"/>
                <w:szCs w:val="21"/>
              </w:rPr>
              <w:t>公开</w:t>
            </w:r>
            <w:r>
              <w:rPr>
                <w:rFonts w:hint="eastAsia" w:ascii="宋体" w:hAnsi="宋体"/>
                <w:szCs w:val="21"/>
              </w:rPr>
              <w:t>审批</w:t>
            </w:r>
            <w:r>
              <w:rPr>
                <w:rFonts w:ascii="宋体" w:hAnsi="宋体"/>
                <w:szCs w:val="21"/>
              </w:rPr>
              <w:t>结果</w:t>
            </w:r>
          </w:p>
        </w:tc>
        <w:tc>
          <w:tcPr>
            <w:tcW w:w="654" w:type="dxa"/>
            <w:tcBorders>
              <w:top w:val="nil"/>
              <w:left w:val="nil"/>
              <w:bottom w:val="single" w:color="auto" w:sz="4" w:space="0"/>
              <w:right w:val="single" w:color="auto" w:sz="4" w:space="0"/>
            </w:tcBorders>
            <w:vAlign w:val="center"/>
          </w:tcPr>
          <w:p w14:paraId="607D86D1">
            <w:pPr>
              <w:spacing w:line="260" w:lineRule="exact"/>
              <w:jc w:val="center"/>
              <w:rPr>
                <w:rFonts w:ascii="宋体" w:hAnsi="宋体"/>
                <w:szCs w:val="21"/>
              </w:rPr>
            </w:pPr>
            <w:r>
              <w:rPr>
                <w:rFonts w:ascii="宋体" w:hAnsi="宋体"/>
                <w:szCs w:val="21"/>
              </w:rPr>
              <w:t>是否</w:t>
            </w:r>
            <w:r>
              <w:rPr>
                <w:rFonts w:hint="eastAsia" w:ascii="宋体" w:hAnsi="宋体"/>
                <w:szCs w:val="21"/>
              </w:rPr>
              <w:t>公开</w:t>
            </w:r>
            <w:r>
              <w:rPr>
                <w:rFonts w:ascii="宋体" w:hAnsi="宋体"/>
                <w:szCs w:val="21"/>
              </w:rPr>
              <w:t>办事指南和业务手册</w:t>
            </w:r>
          </w:p>
        </w:tc>
        <w:tc>
          <w:tcPr>
            <w:tcW w:w="682" w:type="dxa"/>
            <w:tcBorders>
              <w:top w:val="nil"/>
              <w:left w:val="nil"/>
              <w:bottom w:val="single" w:color="auto" w:sz="4" w:space="0"/>
              <w:right w:val="single" w:color="auto" w:sz="4" w:space="0"/>
            </w:tcBorders>
            <w:vAlign w:val="center"/>
          </w:tcPr>
          <w:p w14:paraId="10C55054">
            <w:pPr>
              <w:spacing w:line="260" w:lineRule="exact"/>
              <w:jc w:val="center"/>
              <w:rPr>
                <w:rFonts w:ascii="宋体" w:hAnsi="宋体"/>
                <w:szCs w:val="21"/>
              </w:rPr>
            </w:pPr>
            <w:r>
              <w:rPr>
                <w:rFonts w:ascii="宋体" w:hAnsi="宋体"/>
                <w:szCs w:val="21"/>
              </w:rPr>
              <w:t>是否</w:t>
            </w:r>
            <w:r>
              <w:rPr>
                <w:rFonts w:hint="eastAsia" w:ascii="宋体" w:hAnsi="宋体"/>
                <w:szCs w:val="21"/>
              </w:rPr>
              <w:t>制定</w:t>
            </w:r>
            <w:r>
              <w:rPr>
                <w:rFonts w:ascii="宋体" w:hAnsi="宋体"/>
                <w:szCs w:val="21"/>
              </w:rPr>
              <w:t>监管标准</w:t>
            </w:r>
            <w:r>
              <w:rPr>
                <w:rFonts w:hint="eastAsia" w:ascii="宋体" w:hAnsi="宋体"/>
                <w:szCs w:val="21"/>
              </w:rPr>
              <w:t>或制度</w:t>
            </w:r>
          </w:p>
        </w:tc>
        <w:tc>
          <w:tcPr>
            <w:tcW w:w="641" w:type="dxa"/>
            <w:tcBorders>
              <w:top w:val="nil"/>
              <w:left w:val="nil"/>
              <w:bottom w:val="single" w:color="auto" w:sz="4" w:space="0"/>
              <w:right w:val="single" w:color="auto" w:sz="4" w:space="0"/>
            </w:tcBorders>
            <w:vAlign w:val="center"/>
          </w:tcPr>
          <w:p w14:paraId="5EBBF429">
            <w:pPr>
              <w:spacing w:line="260" w:lineRule="exact"/>
              <w:jc w:val="center"/>
              <w:rPr>
                <w:rFonts w:ascii="宋体" w:hAnsi="宋体"/>
                <w:szCs w:val="21"/>
              </w:rPr>
            </w:pPr>
            <w:r>
              <w:rPr>
                <w:rFonts w:hint="eastAsia" w:ascii="宋体" w:hAnsi="宋体"/>
                <w:szCs w:val="21"/>
              </w:rPr>
              <w:t>开展抽查监管人</w:t>
            </w:r>
            <w:r>
              <w:rPr>
                <w:rFonts w:ascii="宋体" w:hAnsi="宋体"/>
                <w:szCs w:val="21"/>
              </w:rPr>
              <w:t>次</w:t>
            </w:r>
          </w:p>
        </w:tc>
        <w:tc>
          <w:tcPr>
            <w:tcW w:w="942" w:type="dxa"/>
            <w:tcBorders>
              <w:top w:val="nil"/>
              <w:left w:val="nil"/>
              <w:bottom w:val="single" w:color="auto" w:sz="4" w:space="0"/>
              <w:right w:val="single" w:color="auto" w:sz="4" w:space="0"/>
            </w:tcBorders>
            <w:vAlign w:val="center"/>
          </w:tcPr>
          <w:p w14:paraId="0CC94561">
            <w:pPr>
              <w:spacing w:line="260" w:lineRule="exact"/>
              <w:jc w:val="center"/>
              <w:rPr>
                <w:rFonts w:ascii="宋体" w:hAnsi="宋体"/>
                <w:szCs w:val="21"/>
              </w:rPr>
            </w:pPr>
            <w:r>
              <w:rPr>
                <w:rFonts w:hint="eastAsia" w:ascii="宋体" w:hAnsi="宋体"/>
                <w:szCs w:val="21"/>
              </w:rPr>
              <w:t>抽查发现违法违规行为件数</w:t>
            </w:r>
          </w:p>
        </w:tc>
        <w:tc>
          <w:tcPr>
            <w:tcW w:w="641" w:type="dxa"/>
            <w:tcBorders>
              <w:top w:val="single" w:color="auto" w:sz="4" w:space="0"/>
              <w:left w:val="single" w:color="auto" w:sz="4" w:space="0"/>
              <w:bottom w:val="single" w:color="auto" w:sz="4" w:space="0"/>
              <w:right w:val="single" w:color="auto" w:sz="4" w:space="0"/>
            </w:tcBorders>
            <w:vAlign w:val="center"/>
          </w:tcPr>
          <w:p w14:paraId="6572510D">
            <w:pPr>
              <w:spacing w:line="260" w:lineRule="exact"/>
              <w:jc w:val="both"/>
              <w:rPr>
                <w:rFonts w:ascii="宋体" w:hAnsi="宋体"/>
                <w:szCs w:val="21"/>
              </w:rPr>
            </w:pPr>
            <w:r>
              <w:rPr>
                <w:rFonts w:hint="eastAsia" w:ascii="宋体" w:hAnsi="宋体"/>
                <w:szCs w:val="21"/>
              </w:rPr>
              <w:t>查处违法违规行为件数</w:t>
            </w:r>
          </w:p>
        </w:tc>
        <w:tc>
          <w:tcPr>
            <w:tcW w:w="832" w:type="dxa"/>
            <w:tcBorders>
              <w:top w:val="single" w:color="auto" w:sz="4" w:space="0"/>
              <w:left w:val="single" w:color="auto" w:sz="4" w:space="0"/>
              <w:bottom w:val="single" w:color="auto" w:sz="4" w:space="0"/>
              <w:right w:val="single" w:color="auto" w:sz="4" w:space="0"/>
            </w:tcBorders>
            <w:vAlign w:val="center"/>
          </w:tcPr>
          <w:p w14:paraId="5620B8AA">
            <w:pPr>
              <w:spacing w:line="260" w:lineRule="exact"/>
              <w:jc w:val="center"/>
              <w:rPr>
                <w:rFonts w:ascii="宋体" w:hAnsi="宋体"/>
                <w:szCs w:val="21"/>
              </w:rPr>
            </w:pPr>
            <w:r>
              <w:rPr>
                <w:rFonts w:hint="eastAsia" w:ascii="宋体" w:hAnsi="宋体"/>
                <w:szCs w:val="21"/>
              </w:rPr>
              <w:t>收到行政相对人有效投诉举报数</w:t>
            </w:r>
          </w:p>
        </w:tc>
      </w:tr>
      <w:tr w14:paraId="3D1894DF">
        <w:tblPrEx>
          <w:tblCellMar>
            <w:top w:w="0" w:type="dxa"/>
            <w:left w:w="108" w:type="dxa"/>
            <w:bottom w:w="0" w:type="dxa"/>
            <w:right w:w="108" w:type="dxa"/>
          </w:tblCellMar>
        </w:tblPrEx>
        <w:trPr>
          <w:trHeight w:val="515" w:hRule="atLeast"/>
        </w:trPr>
        <w:tc>
          <w:tcPr>
            <w:tcW w:w="506" w:type="dxa"/>
            <w:tcBorders>
              <w:top w:val="nil"/>
              <w:left w:val="single" w:color="auto" w:sz="4" w:space="0"/>
              <w:bottom w:val="single" w:color="auto" w:sz="4" w:space="0"/>
              <w:right w:val="single" w:color="auto" w:sz="4" w:space="0"/>
            </w:tcBorders>
            <w:vAlign w:val="center"/>
          </w:tcPr>
          <w:p w14:paraId="436E9A77">
            <w:pPr>
              <w:spacing w:line="260" w:lineRule="exact"/>
              <w:jc w:val="center"/>
              <w:rPr>
                <w:rFonts w:ascii="宋体" w:hAnsi="宋体"/>
                <w:szCs w:val="21"/>
              </w:rPr>
            </w:pPr>
            <w:r>
              <w:rPr>
                <w:rFonts w:ascii="宋体" w:hAnsi="宋体"/>
                <w:szCs w:val="21"/>
              </w:rPr>
              <w:t>1</w:t>
            </w:r>
          </w:p>
        </w:tc>
        <w:tc>
          <w:tcPr>
            <w:tcW w:w="598" w:type="dxa"/>
            <w:tcBorders>
              <w:top w:val="nil"/>
              <w:left w:val="nil"/>
              <w:bottom w:val="single" w:color="auto" w:sz="4" w:space="0"/>
              <w:right w:val="single" w:color="auto" w:sz="4" w:space="0"/>
            </w:tcBorders>
            <w:vAlign w:val="center"/>
          </w:tcPr>
          <w:p w14:paraId="09B02105">
            <w:pPr>
              <w:spacing w:line="260" w:lineRule="exact"/>
              <w:jc w:val="center"/>
              <w:rPr>
                <w:rFonts w:ascii="宋体" w:hAnsi="宋体"/>
                <w:szCs w:val="21"/>
              </w:rPr>
            </w:pPr>
            <w:r>
              <w:rPr>
                <w:rFonts w:hint="default" w:ascii="Times New Roman" w:hAnsi="Times New Roman" w:eastAsia="宋体" w:cs="Times New Roman"/>
                <w:szCs w:val="21"/>
              </w:rPr>
              <w:t>中介机构从事代理记账业务审批</w:t>
            </w:r>
          </w:p>
        </w:tc>
        <w:tc>
          <w:tcPr>
            <w:tcW w:w="600" w:type="dxa"/>
            <w:tcBorders>
              <w:top w:val="nil"/>
              <w:left w:val="nil"/>
              <w:bottom w:val="single" w:color="auto" w:sz="4" w:space="0"/>
              <w:right w:val="single" w:color="auto" w:sz="4" w:space="0"/>
            </w:tcBorders>
            <w:vAlign w:val="center"/>
          </w:tcPr>
          <w:p w14:paraId="41474971">
            <w:pPr>
              <w:spacing w:line="260" w:lineRule="exact"/>
              <w:jc w:val="center"/>
              <w:rPr>
                <w:rFonts w:ascii="宋体" w:hAnsi="宋体"/>
                <w:szCs w:val="21"/>
              </w:rPr>
            </w:pPr>
            <w:r>
              <w:rPr>
                <w:rFonts w:hint="default" w:ascii="Times New Roman" w:hAnsi="Times New Roman" w:eastAsia="宋体" w:cs="Times New Roman"/>
                <w:szCs w:val="21"/>
              </w:rPr>
              <w:t>中介机构从事代理记账业务审批</w:t>
            </w:r>
          </w:p>
        </w:tc>
        <w:tc>
          <w:tcPr>
            <w:tcW w:w="658" w:type="dxa"/>
            <w:tcBorders>
              <w:top w:val="nil"/>
              <w:left w:val="nil"/>
              <w:bottom w:val="single" w:color="auto" w:sz="4" w:space="0"/>
              <w:right w:val="single" w:color="auto" w:sz="4" w:space="0"/>
            </w:tcBorders>
            <w:vAlign w:val="center"/>
          </w:tcPr>
          <w:p w14:paraId="3D2F1BBB">
            <w:pPr>
              <w:spacing w:line="260" w:lineRule="exact"/>
              <w:jc w:val="center"/>
              <w:rPr>
                <w:rFonts w:ascii="宋体" w:hAnsi="宋体"/>
                <w:szCs w:val="21"/>
              </w:rPr>
            </w:pPr>
            <w:r>
              <w:rPr>
                <w:rFonts w:eastAsia="仿宋_GB2312"/>
                <w:szCs w:val="21"/>
              </w:rPr>
              <w:t>√</w:t>
            </w:r>
          </w:p>
        </w:tc>
        <w:tc>
          <w:tcPr>
            <w:tcW w:w="645" w:type="dxa"/>
            <w:tcBorders>
              <w:top w:val="nil"/>
              <w:left w:val="nil"/>
              <w:bottom w:val="single" w:color="auto" w:sz="4" w:space="0"/>
              <w:right w:val="single" w:color="auto" w:sz="4" w:space="0"/>
            </w:tcBorders>
            <w:vAlign w:val="center"/>
          </w:tcPr>
          <w:p w14:paraId="3192965F">
            <w:pPr>
              <w:spacing w:line="260" w:lineRule="exact"/>
              <w:jc w:val="center"/>
              <w:rPr>
                <w:rFonts w:ascii="宋体" w:hAnsi="宋体"/>
                <w:szCs w:val="21"/>
              </w:rPr>
            </w:pPr>
            <w:r>
              <w:rPr>
                <w:rFonts w:eastAsia="仿宋_GB2312"/>
                <w:szCs w:val="21"/>
              </w:rPr>
              <w:t>√</w:t>
            </w:r>
          </w:p>
        </w:tc>
        <w:tc>
          <w:tcPr>
            <w:tcW w:w="578" w:type="dxa"/>
            <w:tcBorders>
              <w:top w:val="nil"/>
              <w:left w:val="nil"/>
              <w:bottom w:val="single" w:color="auto" w:sz="4" w:space="0"/>
              <w:right w:val="single" w:color="auto" w:sz="4" w:space="0"/>
            </w:tcBorders>
            <w:vAlign w:val="center"/>
          </w:tcPr>
          <w:p w14:paraId="70B0C7AF">
            <w:pPr>
              <w:spacing w:line="260" w:lineRule="exact"/>
              <w:jc w:val="center"/>
              <w:rPr>
                <w:rFonts w:hint="default" w:ascii="宋体" w:hAnsi="宋体" w:eastAsia="宋体"/>
                <w:szCs w:val="21"/>
                <w:lang w:val="en-US" w:eastAsia="zh-CN"/>
              </w:rPr>
            </w:pPr>
            <w:r>
              <w:rPr>
                <w:rFonts w:hint="eastAsia" w:ascii="宋体" w:hAnsi="宋体"/>
                <w:szCs w:val="21"/>
                <w:lang w:val="en-US" w:eastAsia="zh-CN"/>
              </w:rPr>
              <w:t>28</w:t>
            </w:r>
          </w:p>
        </w:tc>
        <w:tc>
          <w:tcPr>
            <w:tcW w:w="549" w:type="dxa"/>
            <w:tcBorders>
              <w:top w:val="nil"/>
              <w:left w:val="nil"/>
              <w:bottom w:val="single" w:color="auto" w:sz="4" w:space="0"/>
              <w:right w:val="single" w:color="auto" w:sz="4" w:space="0"/>
            </w:tcBorders>
            <w:vAlign w:val="center"/>
          </w:tcPr>
          <w:p w14:paraId="2933EBC1">
            <w:pPr>
              <w:spacing w:line="260" w:lineRule="exact"/>
              <w:jc w:val="center"/>
              <w:rPr>
                <w:rFonts w:hint="default" w:ascii="宋体" w:hAnsi="宋体" w:eastAsia="宋体"/>
                <w:szCs w:val="21"/>
                <w:lang w:val="en-US" w:eastAsia="zh-CN"/>
              </w:rPr>
            </w:pPr>
            <w:r>
              <w:rPr>
                <w:rFonts w:hint="eastAsia" w:ascii="宋体" w:hAnsi="宋体"/>
                <w:szCs w:val="21"/>
                <w:lang w:val="en-US" w:eastAsia="zh-CN"/>
              </w:rPr>
              <w:t>28</w:t>
            </w:r>
          </w:p>
        </w:tc>
        <w:tc>
          <w:tcPr>
            <w:tcW w:w="668" w:type="dxa"/>
            <w:tcBorders>
              <w:top w:val="nil"/>
              <w:left w:val="nil"/>
              <w:bottom w:val="single" w:color="auto" w:sz="4" w:space="0"/>
              <w:right w:val="single" w:color="auto" w:sz="4" w:space="0"/>
            </w:tcBorders>
            <w:vAlign w:val="center"/>
          </w:tcPr>
          <w:p w14:paraId="33290F51">
            <w:pPr>
              <w:spacing w:line="260" w:lineRule="exact"/>
              <w:jc w:val="center"/>
              <w:rPr>
                <w:rFonts w:hint="eastAsia" w:ascii="宋体" w:hAnsi="宋体" w:eastAsia="宋体"/>
                <w:szCs w:val="21"/>
                <w:lang w:val="en-US" w:eastAsia="zh-CN"/>
              </w:rPr>
            </w:pPr>
            <w:r>
              <w:rPr>
                <w:rFonts w:hint="eastAsia" w:ascii="宋体" w:hAnsi="宋体"/>
                <w:szCs w:val="21"/>
                <w:lang w:val="en-US" w:eastAsia="zh-CN"/>
              </w:rPr>
              <w:t>0</w:t>
            </w:r>
          </w:p>
        </w:tc>
        <w:tc>
          <w:tcPr>
            <w:tcW w:w="600" w:type="dxa"/>
            <w:tcBorders>
              <w:top w:val="nil"/>
              <w:left w:val="nil"/>
              <w:bottom w:val="single" w:color="auto" w:sz="4" w:space="0"/>
              <w:right w:val="single" w:color="auto" w:sz="4" w:space="0"/>
            </w:tcBorders>
            <w:vAlign w:val="center"/>
          </w:tcPr>
          <w:p w14:paraId="3C0CC8C7">
            <w:pPr>
              <w:spacing w:line="260" w:lineRule="exact"/>
              <w:jc w:val="center"/>
              <w:rPr>
                <w:rFonts w:hint="default" w:ascii="宋体" w:hAnsi="宋体" w:eastAsia="宋体"/>
                <w:szCs w:val="21"/>
                <w:lang w:val="en-US" w:eastAsia="zh-CN"/>
              </w:rPr>
            </w:pPr>
            <w:r>
              <w:rPr>
                <w:rFonts w:hint="eastAsia" w:ascii="宋体" w:hAnsi="宋体"/>
                <w:szCs w:val="21"/>
                <w:lang w:val="en-US" w:eastAsia="zh-CN"/>
              </w:rPr>
              <w:t>28</w:t>
            </w:r>
          </w:p>
        </w:tc>
        <w:tc>
          <w:tcPr>
            <w:tcW w:w="573" w:type="dxa"/>
            <w:tcBorders>
              <w:top w:val="nil"/>
              <w:left w:val="nil"/>
              <w:bottom w:val="single" w:color="auto" w:sz="4" w:space="0"/>
              <w:right w:val="single" w:color="auto" w:sz="4" w:space="0"/>
            </w:tcBorders>
            <w:vAlign w:val="center"/>
          </w:tcPr>
          <w:p w14:paraId="2C8A0C2E">
            <w:pPr>
              <w:spacing w:line="260" w:lineRule="exact"/>
              <w:jc w:val="center"/>
              <w:rPr>
                <w:rFonts w:hint="default" w:ascii="宋体" w:hAnsi="宋体" w:eastAsia="宋体"/>
                <w:szCs w:val="21"/>
                <w:lang w:val="en-US" w:eastAsia="zh-CN"/>
              </w:rPr>
            </w:pPr>
            <w:r>
              <w:rPr>
                <w:rFonts w:hint="eastAsia" w:ascii="宋体" w:hAnsi="宋体"/>
                <w:szCs w:val="21"/>
                <w:lang w:val="en-US" w:eastAsia="zh-CN"/>
              </w:rPr>
              <w:t>28</w:t>
            </w:r>
          </w:p>
        </w:tc>
        <w:tc>
          <w:tcPr>
            <w:tcW w:w="682" w:type="dxa"/>
            <w:tcBorders>
              <w:top w:val="nil"/>
              <w:left w:val="nil"/>
              <w:bottom w:val="single" w:color="auto" w:sz="4" w:space="0"/>
              <w:right w:val="single" w:color="auto" w:sz="4" w:space="0"/>
            </w:tcBorders>
            <w:vAlign w:val="center"/>
          </w:tcPr>
          <w:p w14:paraId="397F87F4">
            <w:pPr>
              <w:spacing w:line="260" w:lineRule="exact"/>
              <w:jc w:val="center"/>
              <w:rPr>
                <w:rFonts w:hint="eastAsia" w:ascii="宋体" w:hAnsi="宋体" w:eastAsia="宋体"/>
                <w:szCs w:val="21"/>
                <w:lang w:val="en-US" w:eastAsia="zh-CN"/>
              </w:rPr>
            </w:pPr>
            <w:r>
              <w:rPr>
                <w:rFonts w:hint="eastAsia" w:ascii="宋体" w:hAnsi="宋体"/>
                <w:szCs w:val="21"/>
                <w:lang w:val="en-US" w:eastAsia="zh-CN"/>
              </w:rPr>
              <w:t>0</w:t>
            </w:r>
          </w:p>
        </w:tc>
        <w:tc>
          <w:tcPr>
            <w:tcW w:w="613" w:type="dxa"/>
            <w:tcBorders>
              <w:top w:val="nil"/>
              <w:left w:val="nil"/>
              <w:bottom w:val="single" w:color="auto" w:sz="4" w:space="0"/>
              <w:right w:val="single" w:color="auto" w:sz="4" w:space="0"/>
            </w:tcBorders>
            <w:vAlign w:val="center"/>
          </w:tcPr>
          <w:p w14:paraId="556F92AB">
            <w:pPr>
              <w:spacing w:line="260" w:lineRule="exact"/>
              <w:jc w:val="center"/>
              <w:rPr>
                <w:rFonts w:hint="default" w:ascii="宋体" w:hAnsi="宋体" w:eastAsia="宋体"/>
                <w:szCs w:val="21"/>
                <w:lang w:val="en-US" w:eastAsia="zh-CN"/>
              </w:rPr>
            </w:pPr>
            <w:r>
              <w:rPr>
                <w:rFonts w:hint="eastAsia" w:ascii="宋体" w:hAnsi="宋体"/>
                <w:szCs w:val="21"/>
                <w:lang w:val="en-US" w:eastAsia="zh-CN"/>
              </w:rPr>
              <w:t>28</w:t>
            </w:r>
          </w:p>
        </w:tc>
        <w:tc>
          <w:tcPr>
            <w:tcW w:w="682" w:type="dxa"/>
            <w:tcBorders>
              <w:top w:val="nil"/>
              <w:left w:val="nil"/>
              <w:bottom w:val="single" w:color="auto" w:sz="4" w:space="0"/>
              <w:right w:val="single" w:color="auto" w:sz="4" w:space="0"/>
            </w:tcBorders>
            <w:vAlign w:val="center"/>
          </w:tcPr>
          <w:p w14:paraId="5C6C67BF">
            <w:pPr>
              <w:spacing w:line="260" w:lineRule="exact"/>
              <w:jc w:val="center"/>
              <w:rPr>
                <w:rFonts w:hint="default" w:ascii="宋体" w:hAnsi="宋体" w:eastAsia="宋体"/>
                <w:szCs w:val="21"/>
                <w:lang w:val="en-US" w:eastAsia="zh-CN"/>
              </w:rPr>
            </w:pPr>
            <w:r>
              <w:rPr>
                <w:rFonts w:hint="eastAsia" w:ascii="宋体" w:hAnsi="宋体"/>
                <w:szCs w:val="21"/>
                <w:lang w:val="en-US" w:eastAsia="zh-CN"/>
              </w:rPr>
              <w:t>28</w:t>
            </w:r>
          </w:p>
        </w:tc>
        <w:tc>
          <w:tcPr>
            <w:tcW w:w="600" w:type="dxa"/>
            <w:tcBorders>
              <w:top w:val="nil"/>
              <w:left w:val="nil"/>
              <w:bottom w:val="single" w:color="auto" w:sz="4" w:space="0"/>
              <w:right w:val="single" w:color="auto" w:sz="4" w:space="0"/>
            </w:tcBorders>
            <w:vAlign w:val="center"/>
          </w:tcPr>
          <w:p w14:paraId="71BA252E">
            <w:pPr>
              <w:spacing w:line="2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600" w:type="dxa"/>
            <w:tcBorders>
              <w:top w:val="nil"/>
              <w:left w:val="nil"/>
              <w:bottom w:val="single" w:color="auto" w:sz="4" w:space="0"/>
              <w:right w:val="single" w:color="auto" w:sz="4" w:space="0"/>
            </w:tcBorders>
            <w:vAlign w:val="center"/>
          </w:tcPr>
          <w:p w14:paraId="2962D775">
            <w:pPr>
              <w:spacing w:line="2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709" w:type="dxa"/>
            <w:tcBorders>
              <w:top w:val="nil"/>
              <w:left w:val="nil"/>
              <w:bottom w:val="single" w:color="auto" w:sz="4" w:space="0"/>
              <w:right w:val="single" w:color="auto" w:sz="4" w:space="0"/>
            </w:tcBorders>
            <w:vAlign w:val="center"/>
          </w:tcPr>
          <w:p w14:paraId="6413445F">
            <w:pPr>
              <w:spacing w:line="2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723" w:type="dxa"/>
            <w:tcBorders>
              <w:top w:val="nil"/>
              <w:left w:val="nil"/>
              <w:bottom w:val="single" w:color="auto" w:sz="4" w:space="0"/>
              <w:right w:val="single" w:color="auto" w:sz="4" w:space="0"/>
            </w:tcBorders>
            <w:vAlign w:val="center"/>
          </w:tcPr>
          <w:p w14:paraId="6E78BEB8">
            <w:pPr>
              <w:spacing w:line="260" w:lineRule="exact"/>
              <w:jc w:val="center"/>
              <w:rPr>
                <w:rFonts w:ascii="宋体" w:hAnsi="宋体"/>
                <w:szCs w:val="21"/>
              </w:rPr>
            </w:pPr>
            <w:r>
              <w:rPr>
                <w:rFonts w:eastAsia="仿宋_GB2312"/>
                <w:szCs w:val="21"/>
              </w:rPr>
              <w:t>√</w:t>
            </w:r>
          </w:p>
        </w:tc>
        <w:tc>
          <w:tcPr>
            <w:tcW w:w="654" w:type="dxa"/>
            <w:tcBorders>
              <w:top w:val="nil"/>
              <w:left w:val="nil"/>
              <w:bottom w:val="single" w:color="auto" w:sz="4" w:space="0"/>
              <w:right w:val="single" w:color="auto" w:sz="4" w:space="0"/>
            </w:tcBorders>
            <w:vAlign w:val="center"/>
          </w:tcPr>
          <w:p w14:paraId="10237C04">
            <w:pPr>
              <w:spacing w:line="260" w:lineRule="exact"/>
              <w:jc w:val="center"/>
              <w:rPr>
                <w:rFonts w:ascii="宋体" w:hAnsi="宋体"/>
                <w:szCs w:val="21"/>
              </w:rPr>
            </w:pPr>
            <w:r>
              <w:rPr>
                <w:rFonts w:eastAsia="仿宋_GB2312"/>
                <w:szCs w:val="21"/>
              </w:rPr>
              <w:t>√</w:t>
            </w:r>
          </w:p>
        </w:tc>
        <w:tc>
          <w:tcPr>
            <w:tcW w:w="682" w:type="dxa"/>
            <w:tcBorders>
              <w:top w:val="nil"/>
              <w:left w:val="nil"/>
              <w:bottom w:val="single" w:color="auto" w:sz="4" w:space="0"/>
              <w:right w:val="single" w:color="auto" w:sz="4" w:space="0"/>
            </w:tcBorders>
            <w:vAlign w:val="center"/>
          </w:tcPr>
          <w:p w14:paraId="253CEAB2">
            <w:pPr>
              <w:spacing w:line="260" w:lineRule="exact"/>
              <w:jc w:val="center"/>
              <w:rPr>
                <w:rFonts w:ascii="宋体" w:hAnsi="宋体"/>
                <w:szCs w:val="21"/>
              </w:rPr>
            </w:pPr>
            <w:r>
              <w:rPr>
                <w:rFonts w:eastAsia="仿宋_GB2312"/>
                <w:szCs w:val="21"/>
              </w:rPr>
              <w:t>√</w:t>
            </w:r>
          </w:p>
        </w:tc>
        <w:tc>
          <w:tcPr>
            <w:tcW w:w="641" w:type="dxa"/>
            <w:tcBorders>
              <w:top w:val="nil"/>
              <w:left w:val="nil"/>
              <w:bottom w:val="single" w:color="auto" w:sz="4" w:space="0"/>
              <w:right w:val="single" w:color="auto" w:sz="4" w:space="0"/>
            </w:tcBorders>
            <w:vAlign w:val="center"/>
          </w:tcPr>
          <w:p w14:paraId="6CFAD282">
            <w:pPr>
              <w:spacing w:line="26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942" w:type="dxa"/>
            <w:tcBorders>
              <w:top w:val="nil"/>
              <w:left w:val="nil"/>
              <w:bottom w:val="single" w:color="auto" w:sz="4" w:space="0"/>
              <w:right w:val="single" w:color="auto" w:sz="4" w:space="0"/>
            </w:tcBorders>
            <w:vAlign w:val="center"/>
          </w:tcPr>
          <w:p w14:paraId="3E4C919C">
            <w:pPr>
              <w:spacing w:line="260" w:lineRule="exact"/>
              <w:jc w:val="center"/>
              <w:rPr>
                <w:rFonts w:hint="eastAsia" w:ascii="宋体" w:hAnsi="宋体" w:eastAsia="宋体"/>
                <w:szCs w:val="21"/>
                <w:lang w:val="en-US" w:eastAsia="zh-CN"/>
              </w:rPr>
            </w:pPr>
            <w:r>
              <w:rPr>
                <w:rFonts w:hint="eastAsia" w:ascii="宋体" w:hAnsi="宋体"/>
                <w:szCs w:val="21"/>
                <w:lang w:val="en-US" w:eastAsia="zh-CN"/>
              </w:rPr>
              <w:t>0</w:t>
            </w:r>
          </w:p>
        </w:tc>
        <w:tc>
          <w:tcPr>
            <w:tcW w:w="641" w:type="dxa"/>
            <w:tcBorders>
              <w:top w:val="nil"/>
              <w:left w:val="single" w:color="auto" w:sz="4" w:space="0"/>
              <w:bottom w:val="single" w:color="auto" w:sz="4" w:space="0"/>
              <w:right w:val="single" w:color="auto" w:sz="4" w:space="0"/>
            </w:tcBorders>
            <w:vAlign w:val="center"/>
          </w:tcPr>
          <w:p w14:paraId="2CB28AF6">
            <w:pPr>
              <w:spacing w:line="260" w:lineRule="exact"/>
              <w:jc w:val="center"/>
              <w:rPr>
                <w:rFonts w:hint="eastAsia" w:ascii="宋体" w:hAnsi="宋体" w:eastAsia="宋体"/>
                <w:szCs w:val="21"/>
                <w:lang w:val="en-US" w:eastAsia="zh-CN"/>
              </w:rPr>
            </w:pPr>
            <w:r>
              <w:rPr>
                <w:rFonts w:hint="eastAsia" w:ascii="宋体" w:hAnsi="宋体"/>
                <w:szCs w:val="21"/>
                <w:lang w:val="en-US" w:eastAsia="zh-CN"/>
              </w:rPr>
              <w:t>0</w:t>
            </w:r>
          </w:p>
        </w:tc>
        <w:tc>
          <w:tcPr>
            <w:tcW w:w="832" w:type="dxa"/>
            <w:tcBorders>
              <w:top w:val="nil"/>
              <w:left w:val="single" w:color="auto" w:sz="4" w:space="0"/>
              <w:bottom w:val="single" w:color="auto" w:sz="4" w:space="0"/>
              <w:right w:val="single" w:color="auto" w:sz="4" w:space="0"/>
            </w:tcBorders>
            <w:vAlign w:val="center"/>
          </w:tcPr>
          <w:p w14:paraId="37331A09">
            <w:pPr>
              <w:spacing w:line="260" w:lineRule="exact"/>
              <w:jc w:val="center"/>
              <w:rPr>
                <w:rFonts w:hint="eastAsia" w:ascii="宋体" w:hAnsi="宋体" w:eastAsia="宋体"/>
                <w:szCs w:val="21"/>
                <w:lang w:val="en-US" w:eastAsia="zh-CN"/>
              </w:rPr>
            </w:pPr>
            <w:r>
              <w:rPr>
                <w:rFonts w:hint="eastAsia" w:ascii="宋体" w:hAnsi="宋体"/>
                <w:szCs w:val="21"/>
                <w:lang w:val="en-US" w:eastAsia="zh-CN"/>
              </w:rPr>
              <w:t>0</w:t>
            </w:r>
          </w:p>
        </w:tc>
      </w:tr>
    </w:tbl>
    <w:p w14:paraId="46A69676">
      <w:pPr>
        <w:rPr>
          <w:rFonts w:ascii="宋体" w:hAnsi="宋体"/>
          <w:szCs w:val="21"/>
        </w:rPr>
      </w:pPr>
      <w:r>
        <w:rPr>
          <w:rFonts w:ascii="宋体" w:hAnsi="宋体"/>
          <w:szCs w:val="21"/>
        </w:rPr>
        <w:t>注：表格中选项为是的</w:t>
      </w:r>
      <w:r>
        <w:rPr>
          <w:rFonts w:hint="eastAsia" w:ascii="宋体" w:hAnsi="宋体"/>
          <w:szCs w:val="21"/>
        </w:rPr>
        <w:t>打“√”，否的打“×”。</w:t>
      </w:r>
    </w:p>
    <w:p w14:paraId="6E3E7227">
      <w:pPr>
        <w:ind w:firstLine="624"/>
        <w:rPr>
          <w:rFonts w:ascii="Tahoma" w:hAnsi="Tahoma"/>
          <w:sz w:val="24"/>
        </w:rPr>
        <w:sectPr>
          <w:pgSz w:w="16838" w:h="11906" w:orient="landscape"/>
          <w:pgMar w:top="1417" w:right="1134" w:bottom="1134" w:left="1134" w:header="851" w:footer="850" w:gutter="0"/>
          <w:cols w:space="0" w:num="1"/>
          <w:rtlGutter w:val="0"/>
          <w:docGrid w:type="lines" w:linePitch="445" w:charSpace="0"/>
        </w:sectPr>
      </w:pPr>
    </w:p>
    <w:p w14:paraId="30877E10">
      <w:pPr>
        <w:rPr>
          <w:rFonts w:hint="eastAsia" w:ascii="Tahoma" w:hAnsi="Tahoma"/>
        </w:rPr>
      </w:pPr>
    </w:p>
    <w:sectPr>
      <w:footerReference r:id="rId4" w:type="default"/>
      <w:pgSz w:w="11906" w:h="16838"/>
      <w:pgMar w:top="1134" w:right="1134" w:bottom="1134" w:left="1417" w:header="851" w:footer="850" w:gutter="0"/>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A05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14:paraId="06AFF64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90FE">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14:paraId="566958F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033EC"/>
    <w:multiLevelType w:val="singleLevel"/>
    <w:tmpl w:val="166033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9"/>
    <w:rsid w:val="001C21F1"/>
    <w:rsid w:val="00FB6919"/>
    <w:rsid w:val="030078B3"/>
    <w:rsid w:val="09C87767"/>
    <w:rsid w:val="09E23E72"/>
    <w:rsid w:val="0D4D3563"/>
    <w:rsid w:val="23276512"/>
    <w:rsid w:val="2B07649F"/>
    <w:rsid w:val="32724797"/>
    <w:rsid w:val="340B0844"/>
    <w:rsid w:val="39BA1BE9"/>
    <w:rsid w:val="49053527"/>
    <w:rsid w:val="4B105AC6"/>
    <w:rsid w:val="4C62375B"/>
    <w:rsid w:val="4F2766CC"/>
    <w:rsid w:val="506B2E33"/>
    <w:rsid w:val="51D16154"/>
    <w:rsid w:val="59A15C8C"/>
    <w:rsid w:val="5A6F607A"/>
    <w:rsid w:val="5B84649E"/>
    <w:rsid w:val="5C2963B1"/>
    <w:rsid w:val="5D8344FA"/>
    <w:rsid w:val="620F23BB"/>
    <w:rsid w:val="62BD5ADB"/>
    <w:rsid w:val="64C634E2"/>
    <w:rsid w:val="655234E0"/>
    <w:rsid w:val="6A4E0457"/>
    <w:rsid w:val="6F246370"/>
    <w:rsid w:val="706A106D"/>
    <w:rsid w:val="72E428A6"/>
    <w:rsid w:val="734614DE"/>
    <w:rsid w:val="79784E55"/>
    <w:rsid w:val="7E2A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uppressAutoHyphens/>
      <w:spacing w:after="0"/>
      <w:ind w:firstLine="420" w:firstLineChars="100"/>
    </w:pPr>
    <w:rPr>
      <w:kern w:val="1"/>
      <w:lang w:eastAsia="ar-SA"/>
    </w:rPr>
  </w:style>
  <w:style w:type="paragraph" w:styleId="3">
    <w:name w:val="Body Text"/>
    <w:basedOn w:val="1"/>
    <w:next w:val="4"/>
    <w:qFormat/>
    <w:uiPriority w:val="99"/>
    <w:pPr>
      <w:spacing w:after="120"/>
    </w:pPr>
  </w:style>
  <w:style w:type="paragraph" w:styleId="4">
    <w:name w:val="Title"/>
    <w:basedOn w:val="1"/>
    <w:next w:val="1"/>
    <w:qFormat/>
    <w:uiPriority w:val="0"/>
    <w:pPr>
      <w:spacing w:before="240" w:after="60" w:line="420" w:lineRule="exact"/>
      <w:jc w:val="center"/>
      <w:outlineLvl w:val="0"/>
    </w:pPr>
    <w:rPr>
      <w:rFonts w:ascii="Cambria" w:hAnsi="Cambria" w:eastAsia="黑体" w:cs="宋体"/>
      <w:sz w:val="24"/>
      <w:szCs w:val="24"/>
    </w:rPr>
  </w:style>
  <w:style w:type="paragraph" w:styleId="5">
    <w:name w:val="Normal Indent"/>
    <w:basedOn w:val="1"/>
    <w:qFormat/>
    <w:uiPriority w:val="0"/>
    <w:pPr>
      <w:ind w:firstLine="630"/>
    </w:pPr>
    <w:rPr>
      <w:kern w:val="0"/>
      <w:szCs w:val="24"/>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toc 2"/>
    <w:basedOn w:val="1"/>
    <w:next w:val="1"/>
    <w:unhideWhenUsed/>
    <w:qFormat/>
    <w:uiPriority w:val="0"/>
    <w:pPr>
      <w:ind w:left="44" w:leftChars="21"/>
      <w:jc w:val="left"/>
    </w:pPr>
    <w:rPr>
      <w:rFonts w:ascii="仿宋" w:hAnsi="仿宋" w:eastAsia="仿宋" w:cs="仿宋"/>
      <w:b/>
      <w:sz w:val="32"/>
      <w:szCs w:val="32"/>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页脚 Char"/>
    <w:basedOn w:val="10"/>
    <w:link w:val="6"/>
    <w:qFormat/>
    <w:uiPriority w:val="99"/>
    <w:rPr>
      <w:rFonts w:ascii="Times New Roman" w:hAnsi="Times New Roman" w:eastAsia="宋体" w:cs="Times New Roman"/>
      <w:sz w:val="18"/>
      <w:szCs w:val="18"/>
    </w:rPr>
  </w:style>
  <w:style w:type="paragraph" w:customStyle="1" w:styleId="13">
    <w:name w:val="正文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2448</Words>
  <Characters>2514</Characters>
  <Lines>167</Lines>
  <Paragraphs>74</Paragraphs>
  <TotalTime>42</TotalTime>
  <ScaleCrop>false</ScaleCrop>
  <LinksUpToDate>false</LinksUpToDate>
  <CharactersWithSpaces>2584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2018-03-19T03:04:00Z</dcterms:created>
  <dc:creator>微软用户</dc:creator>
  <cp:lastModifiedBy>黄少梅</cp:lastModifiedBy>
  <cp:lastPrinted>2025-03-17T02:46:00Z</cp:lastPrinted>
  <dcterms:modified xsi:type="dcterms:W3CDTF">2025-03-19T06:30:53Z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D0A8573D3750448AB2ED7AAC47B38117_13</vt:lpwstr>
  </property>
  <property fmtid="{D5CDD505-2E9C-101B-9397-08002B2CF9AE}" pid="4" name="KSOTemplateDocerSaveRecord">
    <vt:lpwstr>eyJoZGlkIjoiN2MzZDI1MjRmMDg2NDdmN2M4ODI5Mzg1MjM4ZTdjY2QiLCJ1c2VySWQiOiIxNjQ1NTIxMDIxIn0=</vt:lpwstr>
  </property>
</Properties>
</file>