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420"/>
        </w:tabs>
        <w:spacing w:beforeLines="0" w:afterLines="0" w:line="560" w:lineRule="atLeast"/>
        <w:jc w:val="both"/>
        <w:rPr>
          <w:rFonts w:hint="default" w:ascii="Times New Roman" w:hAnsi="Times New Roman" w:eastAsia="仿宋_GB2312" w:cs="Times New Roman"/>
          <w:color w:val="auto"/>
          <w:kern w:val="2"/>
          <w:sz w:val="32"/>
          <w:szCs w:val="24"/>
          <w:highlight w:val="none"/>
          <w:lang w:val="en-US" w:eastAsia="zh-CN" w:bidi="ar-SA"/>
        </w:rPr>
      </w:pPr>
      <w:r>
        <w:rPr>
          <w:rFonts w:hint="eastAsia" w:ascii="Times New Roman" w:hAnsi="Times New Roman" w:eastAsia="仿宋_GB2312" w:cs="Times New Roman"/>
          <w:color w:val="auto"/>
          <w:kern w:val="2"/>
          <w:sz w:val="32"/>
          <w:szCs w:val="24"/>
          <w:highlight w:val="none"/>
          <w:lang w:val="en-US" w:eastAsia="zh-CN" w:bidi="ar-SA"/>
        </w:rPr>
        <w:t>附件2</w:t>
      </w:r>
    </w:p>
    <w:p>
      <w:pPr>
        <w:pStyle w:val="9"/>
        <w:tabs>
          <w:tab w:val="left" w:pos="420"/>
        </w:tabs>
        <w:spacing w:beforeLines="0" w:afterLines="0" w:line="560" w:lineRule="atLeast"/>
        <w:jc w:val="center"/>
        <w:rPr>
          <w:rFonts w:eastAsia="仿宋_GB2312"/>
          <w:b/>
          <w:color w:val="auto"/>
          <w:kern w:val="24"/>
          <w:sz w:val="32"/>
          <w:szCs w:val="32"/>
          <w:highlight w:val="none"/>
        </w:rPr>
      </w:pPr>
      <w:bookmarkStart w:id="0" w:name="_GoBack"/>
      <w:bookmarkEnd w:id="0"/>
      <w:r>
        <w:rPr>
          <w:rFonts w:hint="default" w:ascii="Times New Roman" w:eastAsia="方正小标宋简体"/>
          <w:bCs/>
          <w:color w:val="auto"/>
          <w:sz w:val="44"/>
          <w:szCs w:val="44"/>
          <w:highlight w:val="none"/>
        </w:rPr>
        <w:t>用户需求书</w:t>
      </w:r>
    </w:p>
    <w:p>
      <w:pPr>
        <w:ind w:firstLine="643" w:firstLineChars="200"/>
        <w:rPr>
          <w:rFonts w:eastAsia="仿宋"/>
          <w:color w:val="auto"/>
          <w:sz w:val="32"/>
          <w:highlight w:val="none"/>
        </w:rPr>
      </w:pPr>
      <w:r>
        <w:rPr>
          <w:rFonts w:eastAsia="仿宋_GB2312"/>
          <w:b/>
          <w:color w:val="auto"/>
          <w:kern w:val="24"/>
          <w:sz w:val="32"/>
          <w:szCs w:val="32"/>
          <w:highlight w:val="none"/>
        </w:rPr>
        <w:t>注：《用户需求书》中标注有“</w:t>
      </w:r>
      <w:r>
        <w:rPr>
          <w:rFonts w:ascii="宋体"/>
          <w:b/>
          <w:color w:val="auto"/>
          <w:kern w:val="24"/>
          <w:sz w:val="32"/>
          <w:szCs w:val="32"/>
          <w:highlight w:val="none"/>
        </w:rPr>
        <w:t>★</w:t>
      </w:r>
      <w:r>
        <w:rPr>
          <w:rFonts w:eastAsia="仿宋_GB2312"/>
          <w:b/>
          <w:color w:val="auto"/>
          <w:kern w:val="24"/>
          <w:sz w:val="32"/>
          <w:szCs w:val="32"/>
          <w:highlight w:val="none"/>
        </w:rPr>
        <w:t>”号的条款必须实质性响应，不允许负偏离（不满足要求），否则将被视为无效投标。</w:t>
      </w:r>
    </w:p>
    <w:p>
      <w:pPr>
        <w:ind w:firstLine="643" w:firstLineChars="200"/>
        <w:rPr>
          <w:rFonts w:eastAsia="黑体"/>
          <w:b/>
          <w:bCs/>
          <w:color w:val="auto"/>
          <w:sz w:val="32"/>
          <w:szCs w:val="32"/>
          <w:highlight w:val="none"/>
        </w:rPr>
      </w:pPr>
      <w:r>
        <w:rPr>
          <w:rFonts w:eastAsia="黑体"/>
          <w:b/>
          <w:bCs/>
          <w:color w:val="auto"/>
          <w:sz w:val="32"/>
          <w:szCs w:val="32"/>
          <w:highlight w:val="none"/>
        </w:rPr>
        <w:t>一、项目概况</w:t>
      </w:r>
    </w:p>
    <w:p>
      <w:pPr>
        <w:pStyle w:val="10"/>
        <w:ind w:firstLine="640"/>
        <w:rPr>
          <w:rFonts w:hint="eastAsia" w:ascii="楷体_GB2312" w:hAnsi="楷体_GB2312" w:eastAsia="楷体_GB2312" w:cs="楷体_GB2312"/>
          <w:b/>
          <w:bCs/>
          <w:color w:val="auto"/>
          <w:sz w:val="32"/>
          <w:highlight w:val="none"/>
        </w:rPr>
      </w:pPr>
      <w:r>
        <w:rPr>
          <w:rFonts w:hint="eastAsia" w:ascii="楷体_GB2312" w:hAnsi="楷体_GB2312" w:eastAsia="楷体_GB2312" w:cs="楷体_GB2312"/>
          <w:b/>
          <w:bCs/>
          <w:color w:val="auto"/>
          <w:sz w:val="32"/>
          <w:highlight w:val="none"/>
        </w:rPr>
        <w:t>（一）项目名称</w:t>
      </w:r>
    </w:p>
    <w:p>
      <w:pPr>
        <w:ind w:firstLine="640" w:firstLineChars="200"/>
        <w:rPr>
          <w:rFonts w:hint="eastAsia"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2024年度花都区居家社区养老服务评估</w:t>
      </w:r>
      <w:r>
        <w:rPr>
          <w:rFonts w:hint="eastAsia" w:eastAsia="仿宋_GB2312" w:cs="Times New Roman"/>
          <w:color w:val="auto"/>
          <w:sz w:val="32"/>
          <w:highlight w:val="none"/>
          <w:lang w:val="en-US" w:eastAsia="zh-CN"/>
        </w:rPr>
        <w:t>巡查</w:t>
      </w:r>
      <w:r>
        <w:rPr>
          <w:rFonts w:hint="eastAsia" w:ascii="Times New Roman" w:hAnsi="Times New Roman" w:eastAsia="仿宋_GB2312" w:cs="Times New Roman"/>
          <w:color w:val="auto"/>
          <w:sz w:val="32"/>
          <w:highlight w:val="none"/>
          <w:lang w:val="en-US" w:eastAsia="zh-CN"/>
        </w:rPr>
        <w:t>项目</w:t>
      </w:r>
    </w:p>
    <w:p>
      <w:pPr>
        <w:ind w:firstLine="643" w:firstLineChars="200"/>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（二）服务期</w:t>
      </w:r>
    </w:p>
    <w:p>
      <w:pPr>
        <w:pStyle w:val="10"/>
        <w:ind w:firstLine="640"/>
        <w:rPr>
          <w:rFonts w:ascii="Times New Roman" w:hAnsi="Times New Roman" w:eastAsia="仿宋_GB2312"/>
          <w:color w:val="auto"/>
          <w:sz w:val="32"/>
          <w:highlight w:val="none"/>
        </w:rPr>
      </w:pPr>
      <w:r>
        <w:rPr>
          <w:rFonts w:hint="eastAsia" w:eastAsia="仿宋_GB2312"/>
          <w:color w:val="auto"/>
          <w:sz w:val="32"/>
          <w:highlight w:val="none"/>
        </w:rPr>
        <w:t>一年</w:t>
      </w:r>
      <w:r>
        <w:rPr>
          <w:rFonts w:hint="eastAsia" w:eastAsia="仿宋_GB2312"/>
          <w:color w:val="auto"/>
          <w:sz w:val="32"/>
          <w:highlight w:val="none"/>
          <w:lang w:eastAsia="zh-CN"/>
        </w:rPr>
        <w:t>，</w:t>
      </w:r>
      <w:r>
        <w:rPr>
          <w:rFonts w:hint="eastAsia" w:eastAsia="仿宋_GB2312"/>
          <w:color w:val="auto"/>
          <w:sz w:val="32"/>
          <w:highlight w:val="none"/>
        </w:rPr>
        <w:t>自合同签订之日起</w:t>
      </w:r>
    </w:p>
    <w:p>
      <w:pPr>
        <w:ind w:firstLine="643" w:firstLineChars="200"/>
        <w:rPr>
          <w:rFonts w:hint="eastAsia" w:ascii="Times New Roman" w:hAnsi="Times New Roman" w:eastAsia="仿宋_GB2312"/>
          <w:color w:val="auto"/>
          <w:kern w:val="0"/>
          <w:sz w:val="32"/>
          <w:highlight w:val="none"/>
          <w:lang w:eastAsia="zh-CN"/>
        </w:rPr>
      </w:pPr>
      <w:r>
        <w:rPr>
          <w:rFonts w:hint="eastAsia" w:ascii="楷体_GB2312" w:hAnsi="楷体_GB2312" w:eastAsia="楷体_GB2312" w:cs="楷体_GB2312"/>
          <w:b/>
          <w:bCs w:val="0"/>
          <w:color w:val="auto"/>
          <w:sz w:val="32"/>
          <w:szCs w:val="32"/>
          <w:highlight w:val="none"/>
        </w:rPr>
        <w:t>（三）项目报价</w:t>
      </w:r>
    </w:p>
    <w:tbl>
      <w:tblPr>
        <w:tblStyle w:val="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429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2503" w:type="dxa"/>
            <w:noWrap w:val="0"/>
            <w:vAlign w:val="center"/>
          </w:tcPr>
          <w:p>
            <w:pPr>
              <w:jc w:val="center"/>
              <w:rPr>
                <w:rFonts w:eastAsia="黑体"/>
                <w:color w:val="auto"/>
                <w:sz w:val="32"/>
                <w:szCs w:val="32"/>
                <w:highlight w:val="none"/>
              </w:rPr>
            </w:pPr>
            <w:r>
              <w:rPr>
                <w:rFonts w:hint="eastAsia" w:eastAsia="黑体"/>
                <w:color w:val="auto"/>
                <w:sz w:val="32"/>
                <w:szCs w:val="32"/>
                <w:highlight w:val="none"/>
              </w:rPr>
              <w:t>项目名称</w:t>
            </w:r>
          </w:p>
        </w:tc>
        <w:tc>
          <w:tcPr>
            <w:tcW w:w="4296" w:type="dxa"/>
            <w:noWrap w:val="0"/>
            <w:vAlign w:val="center"/>
          </w:tcPr>
          <w:p>
            <w:pPr>
              <w:jc w:val="center"/>
              <w:rPr>
                <w:rFonts w:eastAsia="黑体"/>
                <w:color w:val="auto"/>
                <w:sz w:val="32"/>
                <w:szCs w:val="32"/>
                <w:highlight w:val="none"/>
              </w:rPr>
            </w:pPr>
            <w:r>
              <w:rPr>
                <w:rFonts w:eastAsia="黑体"/>
                <w:color w:val="auto"/>
                <w:sz w:val="32"/>
                <w:szCs w:val="32"/>
                <w:highlight w:val="none"/>
              </w:rPr>
              <w:t>采购内容</w:t>
            </w:r>
          </w:p>
        </w:tc>
        <w:tc>
          <w:tcPr>
            <w:tcW w:w="2084" w:type="dxa"/>
            <w:noWrap w:val="0"/>
            <w:vAlign w:val="center"/>
          </w:tcPr>
          <w:p>
            <w:pPr>
              <w:jc w:val="center"/>
              <w:rPr>
                <w:rFonts w:eastAsia="黑体"/>
                <w:color w:val="auto"/>
                <w:sz w:val="32"/>
                <w:szCs w:val="32"/>
                <w:highlight w:val="none"/>
              </w:rPr>
            </w:pPr>
            <w:r>
              <w:rPr>
                <w:rFonts w:eastAsia="黑体"/>
                <w:color w:val="auto"/>
                <w:sz w:val="32"/>
                <w:szCs w:val="32"/>
                <w:highlight w:val="none"/>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25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color w:val="auto"/>
                <w:kern w:val="24"/>
                <w:sz w:val="28"/>
                <w:szCs w:val="28"/>
                <w:highlight w:val="none"/>
                <w:lang w:val="en-US" w:eastAsia="zh-CN" w:bidi="ar-SA"/>
              </w:rPr>
            </w:pPr>
            <w:r>
              <w:rPr>
                <w:rFonts w:hint="eastAsia" w:ascii="Times New Roman" w:hAnsi="Times New Roman" w:eastAsia="仿宋_GB2312" w:cs="Times New Roman"/>
                <w:color w:val="auto"/>
                <w:sz w:val="32"/>
                <w:highlight w:val="none"/>
                <w:lang w:val="en-US" w:eastAsia="zh-CN"/>
              </w:rPr>
              <w:t>2024年度花都区居家社区养老服务评估</w:t>
            </w:r>
            <w:r>
              <w:rPr>
                <w:rFonts w:hint="eastAsia" w:eastAsia="仿宋_GB2312" w:cs="Times New Roman"/>
                <w:color w:val="auto"/>
                <w:sz w:val="32"/>
                <w:highlight w:val="none"/>
                <w:lang w:val="en-US" w:eastAsia="zh-CN"/>
              </w:rPr>
              <w:t>巡查</w:t>
            </w:r>
            <w:r>
              <w:rPr>
                <w:rFonts w:hint="eastAsia" w:ascii="Times New Roman" w:hAnsi="Times New Roman" w:eastAsia="仿宋_GB2312" w:cs="Times New Roman"/>
                <w:color w:val="auto"/>
                <w:sz w:val="32"/>
                <w:highlight w:val="none"/>
                <w:lang w:val="en-US" w:eastAsia="zh-CN"/>
              </w:rPr>
              <w:t>项目</w:t>
            </w:r>
          </w:p>
        </w:tc>
        <w:tc>
          <w:tcPr>
            <w:tcW w:w="4296" w:type="dxa"/>
            <w:noWrap w:val="0"/>
            <w:vAlign w:val="center"/>
          </w:tcPr>
          <w:p>
            <w:pPr>
              <w:pStyle w:val="11"/>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before="0" w:after="0" w:line="400" w:lineRule="exact"/>
              <w:jc w:val="left"/>
              <w:textAlignment w:val="auto"/>
              <w:rPr>
                <w:rFonts w:hint="eastAsia"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居家社区养老服务评估</w:t>
            </w:r>
            <w:r>
              <w:rPr>
                <w:rFonts w:hint="eastAsia" w:eastAsia="仿宋_GB2312" w:cs="Times New Roman"/>
                <w:color w:val="auto"/>
                <w:sz w:val="32"/>
                <w:highlight w:val="none"/>
                <w:lang w:val="en-US" w:eastAsia="zh-CN"/>
              </w:rPr>
              <w:t>巡查。</w:t>
            </w:r>
            <w:r>
              <w:rPr>
                <w:rFonts w:hint="eastAsia" w:eastAsia="仿宋_GB2312"/>
                <w:color w:val="auto"/>
                <w:sz w:val="32"/>
                <w:szCs w:val="32"/>
                <w:highlight w:val="none"/>
                <w:lang w:val="en-US" w:eastAsia="zh-CN"/>
              </w:rPr>
              <w:t>对全区10个镇（街）的综合养老服务中心（颐康中心）项目2023年度服务情况进行评估，2024年度</w:t>
            </w:r>
            <w:r>
              <w:rPr>
                <w:rFonts w:hint="eastAsia" w:ascii="Times New Roman" w:hAnsi="Times New Roman" w:eastAsia="仿宋_GB2312" w:cs="Times New Roman"/>
                <w:color w:val="auto"/>
                <w:kern w:val="2"/>
                <w:sz w:val="32"/>
                <w:szCs w:val="32"/>
                <w:lang w:val="en-US" w:eastAsia="zh-CN" w:bidi="ar-SA"/>
              </w:rPr>
              <w:t>每季度完成1次巡查全覆盖</w:t>
            </w:r>
            <w:r>
              <w:rPr>
                <w:rFonts w:hint="eastAsia" w:eastAsia="仿宋_GB2312"/>
                <w:color w:val="auto"/>
                <w:sz w:val="32"/>
                <w:szCs w:val="32"/>
                <w:highlight w:val="none"/>
                <w:lang w:val="en-US" w:eastAsia="zh-CN"/>
              </w:rPr>
              <w:t>。</w:t>
            </w:r>
          </w:p>
          <w:p>
            <w:pPr>
              <w:pStyle w:val="10"/>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eastAsia" w:ascii="Times New Roman" w:hAnsi="Times New Roman" w:eastAsia="仿宋_GB2312" w:cs="Times New Roman"/>
                <w:color w:val="auto"/>
                <w:kern w:val="24"/>
                <w:sz w:val="28"/>
                <w:szCs w:val="28"/>
                <w:highlight w:val="none"/>
                <w:lang w:val="en-US" w:eastAsia="zh-CN" w:bidi="ar-SA"/>
              </w:rPr>
            </w:pPr>
          </w:p>
        </w:tc>
        <w:tc>
          <w:tcPr>
            <w:tcW w:w="2084" w:type="dxa"/>
            <w:noWrap w:val="0"/>
            <w:vAlign w:val="center"/>
          </w:tcPr>
          <w:p>
            <w:pPr>
              <w:pStyle w:val="11"/>
              <w:keepNext w:val="0"/>
              <w:keepLines w:val="0"/>
              <w:pageBreakBefore w:val="0"/>
              <w:widowControl w:val="0"/>
              <w:tabs>
                <w:tab w:val="left" w:pos="360"/>
              </w:tabs>
              <w:kinsoku/>
              <w:wordWrap/>
              <w:overflowPunct/>
              <w:topLinePunct w:val="0"/>
              <w:autoSpaceDE/>
              <w:autoSpaceDN/>
              <w:bidi w:val="0"/>
              <w:adjustRightInd/>
              <w:snapToGrid/>
              <w:spacing w:before="0" w:after="0" w:line="400" w:lineRule="exact"/>
              <w:textAlignment w:val="auto"/>
              <w:rPr>
                <w:rFonts w:hint="eastAsia" w:ascii="Times New Roman" w:hAnsi="Times New Roman" w:eastAsia="仿宋_GB2312" w:cs="Times New Roman"/>
                <w:color w:val="auto"/>
                <w:kern w:val="24"/>
                <w:sz w:val="28"/>
                <w:szCs w:val="28"/>
                <w:highlight w:val="none"/>
                <w:lang w:val="en-US" w:eastAsia="zh-CN" w:bidi="ar-SA"/>
              </w:rPr>
            </w:pPr>
            <w:r>
              <w:rPr>
                <w:rFonts w:hint="eastAsia" w:eastAsia="仿宋_GB2312" w:cs="Times New Roman"/>
                <w:color w:val="auto"/>
                <w:kern w:val="24"/>
                <w:sz w:val="28"/>
                <w:szCs w:val="28"/>
                <w:highlight w:val="none"/>
                <w:lang w:val="en-US" w:eastAsia="zh-CN" w:bidi="ar-SA"/>
              </w:rPr>
              <w:t>采购最高限价18</w:t>
            </w:r>
            <w:r>
              <w:rPr>
                <w:rFonts w:hint="eastAsia" w:ascii="Times New Roman" w:hAnsi="Times New Roman" w:eastAsia="仿宋_GB2312" w:cs="Times New Roman"/>
                <w:color w:val="auto"/>
                <w:kern w:val="24"/>
                <w:sz w:val="28"/>
                <w:szCs w:val="28"/>
                <w:highlight w:val="none"/>
                <w:lang w:val="en-US" w:eastAsia="zh-CN" w:bidi="ar-SA"/>
              </w:rPr>
              <w:t>万元</w:t>
            </w:r>
          </w:p>
        </w:tc>
      </w:tr>
    </w:tbl>
    <w:p>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auto"/>
          <w:kern w:val="0"/>
          <w:sz w:val="32"/>
          <w:highlight w:val="none"/>
        </w:rPr>
      </w:pPr>
      <w:r>
        <w:rPr>
          <w:rFonts w:hint="eastAsia" w:ascii="Times New Roman" w:hAnsi="Times New Roman" w:eastAsia="仿宋_GB2312" w:cs="Times New Roman"/>
          <w:color w:val="auto"/>
          <w:sz w:val="32"/>
          <w:lang w:val="en-US" w:eastAsia="zh-CN"/>
        </w:rPr>
        <w:t>项目费用</w:t>
      </w:r>
      <w:r>
        <w:rPr>
          <w:rFonts w:hint="eastAsia" w:ascii="Times New Roman" w:hAnsi="Times New Roman" w:eastAsia="仿宋_GB2312"/>
          <w:color w:val="auto"/>
          <w:sz w:val="32"/>
          <w:highlight w:val="none"/>
        </w:rPr>
        <w:t>包括所有因为评估</w:t>
      </w:r>
      <w:r>
        <w:rPr>
          <w:rFonts w:hint="eastAsia" w:ascii="Times New Roman" w:hAnsi="Times New Roman" w:eastAsia="仿宋_GB2312"/>
          <w:color w:val="auto"/>
          <w:sz w:val="32"/>
          <w:highlight w:val="none"/>
          <w:lang w:val="en-US" w:eastAsia="zh-CN"/>
        </w:rPr>
        <w:t>巡查</w:t>
      </w:r>
      <w:r>
        <w:rPr>
          <w:rFonts w:hint="eastAsia" w:ascii="Times New Roman" w:hAnsi="Times New Roman" w:eastAsia="仿宋_GB2312"/>
          <w:color w:val="auto"/>
          <w:sz w:val="32"/>
          <w:highlight w:val="none"/>
        </w:rPr>
        <w:t>工作等产生的费用开支，</w:t>
      </w:r>
      <w:r>
        <w:rPr>
          <w:rFonts w:hint="eastAsia" w:ascii="Times New Roman" w:hAnsi="Times New Roman" w:eastAsia="仿宋_GB2312"/>
          <w:color w:val="auto"/>
          <w:sz w:val="32"/>
          <w:highlight w:val="none"/>
          <w:lang w:val="en-US" w:eastAsia="zh-CN"/>
        </w:rPr>
        <w:t>包括但不限于</w:t>
      </w:r>
      <w:r>
        <w:rPr>
          <w:rFonts w:ascii="Times New Roman" w:hAnsi="Times New Roman" w:eastAsia="仿宋_GB2312"/>
          <w:color w:val="auto"/>
          <w:kern w:val="0"/>
          <w:sz w:val="32"/>
          <w:highlight w:val="none"/>
        </w:rPr>
        <w:t>人员经费、服务支持经费、专业支持经费、办公经费及由项目开展而产生的其他</w:t>
      </w:r>
      <w:r>
        <w:rPr>
          <w:rFonts w:hint="eastAsia" w:ascii="Times New Roman" w:hAnsi="Times New Roman" w:eastAsia="仿宋_GB2312"/>
          <w:color w:val="auto"/>
          <w:kern w:val="0"/>
          <w:sz w:val="32"/>
          <w:highlight w:val="none"/>
          <w:lang w:eastAsia="zh-CN"/>
        </w:rPr>
        <w:t>所有</w:t>
      </w:r>
      <w:r>
        <w:rPr>
          <w:rFonts w:ascii="Times New Roman" w:hAnsi="Times New Roman" w:eastAsia="仿宋_GB2312"/>
          <w:color w:val="auto"/>
          <w:kern w:val="0"/>
          <w:sz w:val="32"/>
          <w:highlight w:val="none"/>
        </w:rPr>
        <w:t>费用。</w:t>
      </w:r>
    </w:p>
    <w:p>
      <w:pPr>
        <w:keepNext w:val="0"/>
        <w:keepLines w:val="0"/>
        <w:pageBreakBefore w:val="0"/>
        <w:kinsoku/>
        <w:wordWrap/>
        <w:overflowPunct/>
        <w:topLinePunct w:val="0"/>
        <w:bidi w:val="0"/>
        <w:spacing w:line="560" w:lineRule="exact"/>
        <w:ind w:firstLine="643" w:firstLineChars="200"/>
        <w:textAlignment w:val="auto"/>
        <w:rPr>
          <w:rFonts w:eastAsia="黑体"/>
          <w:b/>
          <w:bCs w:val="0"/>
          <w:color w:val="auto"/>
          <w:sz w:val="32"/>
          <w:szCs w:val="32"/>
          <w:highlight w:val="none"/>
        </w:rPr>
      </w:pPr>
      <w:r>
        <w:rPr>
          <w:rFonts w:eastAsia="黑体"/>
          <w:b/>
          <w:bCs w:val="0"/>
          <w:color w:val="auto"/>
          <w:sz w:val="32"/>
          <w:szCs w:val="32"/>
          <w:highlight w:val="none"/>
        </w:rPr>
        <w:t>二、项目需求</w:t>
      </w:r>
    </w:p>
    <w:p>
      <w:pPr>
        <w:pStyle w:val="10"/>
        <w:keepNext w:val="0"/>
        <w:keepLines w:val="0"/>
        <w:pageBreakBefore w:val="0"/>
        <w:kinsoku/>
        <w:wordWrap/>
        <w:overflowPunct/>
        <w:topLinePunct w:val="0"/>
        <w:bidi w:val="0"/>
        <w:spacing w:line="560" w:lineRule="exact"/>
        <w:ind w:firstLine="640"/>
        <w:textAlignment w:val="auto"/>
        <w:rPr>
          <w:rFonts w:hint="eastAsia" w:ascii="楷体_GB2312" w:hAnsi="楷体_GB2312" w:eastAsia="楷体_GB2312" w:cs="楷体_GB2312"/>
          <w:b/>
          <w:bCs w:val="0"/>
          <w:color w:val="auto"/>
          <w:sz w:val="32"/>
          <w:highlight w:val="none"/>
        </w:rPr>
      </w:pPr>
      <w:r>
        <w:rPr>
          <w:rFonts w:hint="eastAsia" w:ascii="楷体_GB2312" w:hAnsi="楷体_GB2312" w:eastAsia="楷体_GB2312" w:cs="楷体_GB2312"/>
          <w:b/>
          <w:bCs w:val="0"/>
          <w:color w:val="auto"/>
          <w:sz w:val="32"/>
          <w:highlight w:val="none"/>
        </w:rPr>
        <w:t>（一）服务范围：广州市</w:t>
      </w:r>
      <w:r>
        <w:rPr>
          <w:rFonts w:hint="eastAsia" w:ascii="楷体_GB2312" w:hAnsi="楷体_GB2312" w:eastAsia="楷体_GB2312" w:cs="楷体_GB2312"/>
          <w:b/>
          <w:bCs w:val="0"/>
          <w:color w:val="auto"/>
          <w:sz w:val="32"/>
          <w:highlight w:val="none"/>
          <w:lang w:eastAsia="zh-CN"/>
        </w:rPr>
        <w:t>花都</w:t>
      </w:r>
      <w:r>
        <w:rPr>
          <w:rFonts w:hint="eastAsia" w:ascii="楷体_GB2312" w:hAnsi="楷体_GB2312" w:eastAsia="楷体_GB2312" w:cs="楷体_GB2312"/>
          <w:b/>
          <w:bCs w:val="0"/>
          <w:color w:val="auto"/>
          <w:sz w:val="32"/>
          <w:highlight w:val="none"/>
        </w:rPr>
        <w:t>区</w:t>
      </w:r>
    </w:p>
    <w:p>
      <w:pPr>
        <w:pStyle w:val="10"/>
        <w:keepNext w:val="0"/>
        <w:keepLines w:val="0"/>
        <w:pageBreakBefore w:val="0"/>
        <w:kinsoku/>
        <w:wordWrap/>
        <w:overflowPunct/>
        <w:topLinePunct w:val="0"/>
        <w:bidi w:val="0"/>
        <w:spacing w:line="560" w:lineRule="exact"/>
        <w:ind w:firstLine="640"/>
        <w:textAlignment w:val="auto"/>
        <w:rPr>
          <w:rFonts w:hint="eastAsia" w:ascii="楷体_GB2312" w:hAnsi="楷体_GB2312" w:eastAsia="楷体_GB2312" w:cs="楷体_GB2312"/>
          <w:b/>
          <w:bCs w:val="0"/>
          <w:color w:val="auto"/>
          <w:sz w:val="32"/>
          <w:highlight w:val="none"/>
        </w:rPr>
      </w:pPr>
      <w:r>
        <w:rPr>
          <w:rFonts w:hint="eastAsia" w:ascii="楷体_GB2312" w:hAnsi="楷体_GB2312" w:eastAsia="楷体_GB2312" w:cs="楷体_GB2312"/>
          <w:b/>
          <w:bCs w:val="0"/>
          <w:color w:val="auto"/>
          <w:sz w:val="32"/>
          <w:highlight w:val="none"/>
        </w:rPr>
        <w:t>（二）服务内容</w:t>
      </w:r>
    </w:p>
    <w:p>
      <w:pPr>
        <w:pStyle w:val="10"/>
        <w:ind w:firstLine="64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highlight w:val="none"/>
          <w:lang w:val="en-US" w:eastAsia="zh-CN"/>
        </w:rPr>
        <w:t>居家社区养老服务评估</w:t>
      </w:r>
      <w:r>
        <w:rPr>
          <w:rFonts w:hint="eastAsia" w:eastAsia="仿宋_GB2312" w:cs="Times New Roman"/>
          <w:color w:val="auto"/>
          <w:sz w:val="32"/>
          <w:highlight w:val="none"/>
          <w:lang w:val="en-US" w:eastAsia="zh-CN"/>
        </w:rPr>
        <w:t>巡查。</w:t>
      </w:r>
      <w:r>
        <w:rPr>
          <w:rFonts w:hint="eastAsia" w:eastAsia="仿宋_GB2312"/>
          <w:color w:val="auto"/>
          <w:sz w:val="32"/>
          <w:szCs w:val="32"/>
          <w:highlight w:val="none"/>
          <w:lang w:val="en-US" w:eastAsia="zh-CN"/>
        </w:rPr>
        <w:t>根据《广州市居家社区养老服务管理办法》，严格按照市、区民政部门关于服务评估的统一要求开展2023年度评估工作，对全区10个镇（街）的综合养老服务中心（颐康中心）综合运用现场观察、文档查阅、人员访谈、信息系统核查、满意度调查等方式，评估社区养老服务设施的设施设备条件、人员配备、管理水平、服务质量、社会信誉等方面，根据评估结果给出服务改进建议并出具评估报告，评估结果作为政府监管行业发展情况和服务机构申请居家社区养老服务奖励的依据。</w:t>
      </w:r>
      <w:r>
        <w:rPr>
          <w:rFonts w:hint="eastAsia" w:ascii="Times New Roman" w:hAnsi="Times New Roman" w:eastAsia="仿宋_GB2312" w:cs="Times New Roman"/>
          <w:color w:val="auto"/>
          <w:kern w:val="2"/>
          <w:sz w:val="32"/>
          <w:szCs w:val="32"/>
          <w:lang w:val="en-US" w:eastAsia="zh-CN" w:bidi="ar-SA"/>
        </w:rPr>
        <w:t>对街镇综合养老中心（颐康中心）的服务情况进行监管，2024年度每季度完成1次巡查全覆盖，并及时向花都区民政局反馈巡查情况。</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黑体"/>
          <w:color w:val="auto"/>
          <w:sz w:val="32"/>
          <w:highlight w:val="none"/>
        </w:rPr>
      </w:pPr>
      <w:r>
        <w:rPr>
          <w:rFonts w:ascii="Times New Roman" w:hAnsi="Times New Roman" w:eastAsia="黑体"/>
          <w:bCs/>
          <w:color w:val="auto"/>
          <w:sz w:val="32"/>
          <w:highlight w:val="none"/>
        </w:rPr>
        <w:t>三、</w:t>
      </w:r>
      <w:r>
        <w:rPr>
          <w:rFonts w:hint="eastAsia" w:ascii="Times New Roman" w:hAnsi="Times New Roman" w:eastAsia="黑体"/>
          <w:bCs/>
          <w:color w:val="auto"/>
          <w:sz w:val="32"/>
          <w:highlight w:val="none"/>
        </w:rPr>
        <w:t>承接服务</w:t>
      </w:r>
      <w:r>
        <w:rPr>
          <w:rFonts w:hint="eastAsia" w:ascii="Times New Roman" w:hAnsi="Times New Roman" w:eastAsia="黑体"/>
          <w:bCs/>
          <w:color w:val="auto"/>
          <w:sz w:val="32"/>
          <w:highlight w:val="none"/>
          <w:lang w:val="en-US" w:eastAsia="zh-CN"/>
        </w:rPr>
        <w:t>单位、</w:t>
      </w:r>
      <w:r>
        <w:rPr>
          <w:rFonts w:ascii="Times New Roman" w:hAnsi="Times New Roman" w:eastAsia="黑体"/>
          <w:bCs/>
          <w:color w:val="auto"/>
          <w:sz w:val="32"/>
          <w:highlight w:val="none"/>
        </w:rPr>
        <w:t>人员</w:t>
      </w:r>
      <w:r>
        <w:rPr>
          <w:rFonts w:hint="eastAsia" w:ascii="Times New Roman" w:hAnsi="Times New Roman" w:eastAsia="黑体"/>
          <w:bCs/>
          <w:color w:val="auto"/>
          <w:sz w:val="32"/>
          <w:highlight w:val="none"/>
          <w:lang w:eastAsia="zh-CN"/>
        </w:rPr>
        <w:t>、</w:t>
      </w:r>
      <w:r>
        <w:rPr>
          <w:rFonts w:hint="eastAsia" w:ascii="Times New Roman" w:hAnsi="Times New Roman" w:eastAsia="黑体"/>
          <w:bCs/>
          <w:color w:val="auto"/>
          <w:sz w:val="32"/>
          <w:highlight w:val="none"/>
          <w:lang w:val="en-US" w:eastAsia="zh-CN"/>
        </w:rPr>
        <w:t>工作</w:t>
      </w:r>
      <w:r>
        <w:rPr>
          <w:rFonts w:ascii="Times New Roman" w:hAnsi="Times New Roman" w:eastAsia="黑体"/>
          <w:bCs/>
          <w:color w:val="auto"/>
          <w:sz w:val="32"/>
          <w:highlight w:val="none"/>
        </w:rPr>
        <w:t>要求</w:t>
      </w:r>
    </w:p>
    <w:p>
      <w:pPr>
        <w:pStyle w:val="10"/>
        <w:keepNext w:val="0"/>
        <w:keepLines w:val="0"/>
        <w:pageBreakBefore w:val="0"/>
        <w:kinsoku/>
        <w:wordWrap/>
        <w:overflowPunct/>
        <w:topLinePunct w:val="0"/>
        <w:bidi w:val="0"/>
        <w:spacing w:line="560" w:lineRule="exact"/>
        <w:ind w:firstLine="640"/>
        <w:textAlignment w:val="auto"/>
        <w:rPr>
          <w:rFonts w:hint="eastAsia" w:ascii="楷体_GB2312" w:hAnsi="楷体_GB2312" w:eastAsia="楷体_GB2312" w:cs="楷体_GB2312"/>
          <w:b/>
          <w:bCs w:val="0"/>
          <w:color w:val="auto"/>
          <w:sz w:val="32"/>
          <w:highlight w:val="none"/>
        </w:rPr>
      </w:pPr>
      <w:r>
        <w:rPr>
          <w:rFonts w:hint="eastAsia" w:ascii="楷体_GB2312" w:hAnsi="楷体_GB2312" w:eastAsia="楷体_GB2312" w:cs="楷体_GB2312"/>
          <w:b/>
          <w:bCs w:val="0"/>
          <w:color w:val="auto"/>
          <w:sz w:val="32"/>
          <w:highlight w:val="none"/>
        </w:rPr>
        <w:t>（一）承接服务</w:t>
      </w:r>
      <w:r>
        <w:rPr>
          <w:rFonts w:hint="eastAsia" w:ascii="楷体_GB2312" w:hAnsi="楷体_GB2312" w:eastAsia="楷体_GB2312" w:cs="楷体_GB2312"/>
          <w:b/>
          <w:bCs w:val="0"/>
          <w:color w:val="auto"/>
          <w:sz w:val="32"/>
          <w:highlight w:val="none"/>
          <w:lang w:val="en-US" w:eastAsia="zh-CN"/>
        </w:rPr>
        <w:t>单位</w:t>
      </w:r>
      <w:r>
        <w:rPr>
          <w:rFonts w:hint="eastAsia" w:ascii="楷体_GB2312" w:hAnsi="楷体_GB2312" w:eastAsia="楷体_GB2312" w:cs="楷体_GB2312"/>
          <w:b/>
          <w:bCs w:val="0"/>
          <w:color w:val="auto"/>
          <w:sz w:val="32"/>
          <w:highlight w:val="none"/>
        </w:rPr>
        <w:t>要求</w:t>
      </w:r>
    </w:p>
    <w:p>
      <w:pPr>
        <w:keepNext w:val="0"/>
        <w:keepLines w:val="0"/>
        <w:pageBreakBefore w:val="0"/>
        <w:kinsoku/>
        <w:wordWrap/>
        <w:overflowPunct/>
        <w:topLinePunct w:val="0"/>
        <w:bidi w:val="0"/>
        <w:spacing w:line="560" w:lineRule="exact"/>
        <w:ind w:firstLine="640" w:firstLineChars="20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1.依法登记成立的企事业单位或社会组织，登记经营范围应包含评估服务；</w:t>
      </w:r>
    </w:p>
    <w:p>
      <w:pPr>
        <w:pStyle w:val="2"/>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2.所聘评估员应当符合市民政局门规定的要求；</w:t>
      </w:r>
    </w:p>
    <w:p>
      <w:pPr>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3.定期组织评估员参加市、区民政部门举办的业务培训；</w:t>
      </w:r>
    </w:p>
    <w:p>
      <w:pPr>
        <w:pStyle w:val="2"/>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4.近3年内无重大违法违规记录，未被列入严重失信主体名单；</w:t>
      </w:r>
    </w:p>
    <w:p>
      <w:pPr>
        <w:ind w:firstLine="640" w:firstLineChars="200"/>
        <w:rPr>
          <w:rFonts w:hint="default"/>
          <w:color w:val="auto"/>
          <w:lang w:val="en-US" w:eastAsia="zh-CN"/>
        </w:rPr>
      </w:pPr>
      <w:r>
        <w:rPr>
          <w:rFonts w:hint="eastAsia" w:eastAsia="仿宋_GB2312"/>
          <w:color w:val="auto"/>
          <w:sz w:val="32"/>
          <w:szCs w:val="32"/>
          <w:highlight w:val="none"/>
          <w:lang w:val="en-US" w:eastAsia="zh-CN"/>
        </w:rPr>
        <w:t>5.评估机构在服务协议限期内，不得同时承接同一区域内的政府购买居家社区养老服务项目。</w:t>
      </w:r>
    </w:p>
    <w:p>
      <w:pPr>
        <w:pStyle w:val="10"/>
        <w:keepNext w:val="0"/>
        <w:keepLines w:val="0"/>
        <w:pageBreakBefore w:val="0"/>
        <w:kinsoku/>
        <w:wordWrap/>
        <w:overflowPunct/>
        <w:topLinePunct w:val="0"/>
        <w:bidi w:val="0"/>
        <w:spacing w:line="560" w:lineRule="exact"/>
        <w:ind w:left="0" w:leftChars="0" w:firstLine="643" w:firstLineChars="200"/>
        <w:textAlignment w:val="auto"/>
        <w:rPr>
          <w:rFonts w:ascii="Times New Roman" w:hAnsi="Times New Roman" w:eastAsia="楷体_GB2312"/>
          <w:b/>
          <w:bCs/>
          <w:color w:val="auto"/>
          <w:sz w:val="32"/>
          <w:highlight w:val="none"/>
        </w:rPr>
      </w:pPr>
      <w:r>
        <w:rPr>
          <w:rFonts w:ascii="Times New Roman" w:hAnsi="Times New Roman" w:eastAsia="楷体_GB2312"/>
          <w:b/>
          <w:bCs/>
          <w:color w:val="auto"/>
          <w:sz w:val="32"/>
          <w:highlight w:val="none"/>
        </w:rPr>
        <w:t>（二）人员要求</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须</w:t>
      </w:r>
      <w:r>
        <w:rPr>
          <w:rFonts w:eastAsia="仿宋_GB2312"/>
          <w:color w:val="auto"/>
          <w:sz w:val="32"/>
          <w:szCs w:val="32"/>
          <w:highlight w:val="none"/>
        </w:rPr>
        <w:t>配备专职的项目管理人员。</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居家社区养老服务评估项目在开展期间保证投入不少于7名评估员开展评估工作，其中业务评估员至少5名，财务评估员至少2名。业务评估员中有医疗、护理专业教育背景或从业资格的评估员至少2名，且需实际参与到实地评估中。</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3.评估员应经市、区民政部门培训后上岗，并具备以下条件之一：业务评估员应具备大专以上学历，且从事养老行业工作3年及以上；财务评估员应具备中级或同等财务专业技术资格，且从事财务工作3年及以上。</w:t>
      </w:r>
    </w:p>
    <w:p>
      <w:pPr>
        <w:pStyle w:val="2"/>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4.评估员聘用、培训、安排、回避等均须符合政策要求，评估机构承诺在服务期内必须保证投入的评估员数量不能减少，服务期中如有人事变动问题，必须保证能达到投标时承诺投入的人员水平标准。</w:t>
      </w:r>
    </w:p>
    <w:p>
      <w:pPr>
        <w:ind w:firstLine="640" w:firstLineChars="200"/>
        <w:rPr>
          <w:rFonts w:hint="default"/>
          <w:color w:val="auto"/>
          <w:lang w:val="en-US" w:eastAsia="zh-CN"/>
        </w:rPr>
      </w:pPr>
      <w:r>
        <w:rPr>
          <w:rFonts w:hint="eastAsia" w:eastAsia="仿宋_GB2312"/>
          <w:color w:val="auto"/>
          <w:sz w:val="32"/>
          <w:szCs w:val="32"/>
          <w:highlight w:val="none"/>
          <w:lang w:val="en-US" w:eastAsia="zh-CN"/>
        </w:rPr>
        <w:t>5.如我市服务评估政策发生变化，应当按最新政策要求调整评估员队伍及工作安排。</w:t>
      </w:r>
    </w:p>
    <w:p>
      <w:pPr>
        <w:pStyle w:val="10"/>
        <w:keepNext w:val="0"/>
        <w:keepLines w:val="0"/>
        <w:pageBreakBefore w:val="0"/>
        <w:kinsoku/>
        <w:wordWrap/>
        <w:overflowPunct/>
        <w:topLinePunct w:val="0"/>
        <w:bidi w:val="0"/>
        <w:spacing w:line="560" w:lineRule="exact"/>
        <w:ind w:left="0" w:leftChars="0" w:firstLine="643" w:firstLineChars="200"/>
        <w:textAlignment w:val="auto"/>
        <w:rPr>
          <w:rFonts w:hint="default" w:ascii="Times New Roman" w:hAnsi="Times New Roman" w:eastAsia="楷体_GB2312" w:cs="Times New Roman"/>
          <w:b/>
          <w:bCs/>
          <w:color w:val="auto"/>
          <w:sz w:val="32"/>
          <w:highlight w:val="none"/>
          <w:lang w:val="en-US" w:eastAsia="zh-CN"/>
        </w:rPr>
      </w:pPr>
      <w:r>
        <w:rPr>
          <w:rFonts w:hint="eastAsia" w:ascii="Times New Roman" w:hAnsi="Times New Roman" w:eastAsia="楷体_GB2312" w:cs="Times New Roman"/>
          <w:b/>
          <w:bCs/>
          <w:color w:val="auto"/>
          <w:sz w:val="32"/>
          <w:highlight w:val="none"/>
          <w:lang w:val="en-US" w:eastAsia="zh-CN"/>
        </w:rPr>
        <w:t>（三）工作要求</w:t>
      </w:r>
    </w:p>
    <w:p>
      <w:pPr>
        <w:pStyle w:val="2"/>
        <w:rPr>
          <w:rFonts w:hint="eastAsia"/>
          <w:color w:val="auto"/>
          <w:lang w:val="en-US" w:eastAsia="zh-CN"/>
        </w:rPr>
      </w:pPr>
      <w:r>
        <w:rPr>
          <w:rFonts w:hint="eastAsia" w:eastAsia="仿宋_GB2312"/>
          <w:color w:val="auto"/>
          <w:sz w:val="32"/>
          <w:szCs w:val="32"/>
          <w:highlight w:val="none"/>
          <w:lang w:val="en-US" w:eastAsia="zh-CN"/>
        </w:rPr>
        <w:t>1.评估机构开展街镇综合养老服务中心（颐康中心）实地评估工作时，应当至少安排4名业务评估员和1名财务评估员参与，每次巡查至少安排2名业务评估员参与。评估员所评估的内容应当与专业技能相适应。</w:t>
      </w:r>
    </w:p>
    <w:p>
      <w:pPr>
        <w:pStyle w:val="2"/>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评估机构应根据评估组织实施单位的需求和辖区社区养老服务设施运营情况，在签订合同后10个工作日内制订并提供工作实施方案，方案内容包括评估标准、评估计划、评估流程、评估人员落实、经费支出预算等事项，经采购方同意后组织实施。在项目实施期间如采购方需调整方案的，评估机构应当配合调整。</w:t>
      </w:r>
    </w:p>
    <w:p>
      <w:pPr>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3.评估机构应妥善保管评估工作相关台账，评估项目结束后将全部台账整理归档并移交评估组织实施单位。</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color w:val="auto"/>
          <w:lang w:val="en-US" w:eastAsia="zh-CN"/>
        </w:rPr>
      </w:pPr>
      <w:r>
        <w:rPr>
          <w:rFonts w:hint="eastAsia" w:eastAsia="仿宋_GB2312"/>
          <w:color w:val="auto"/>
          <w:sz w:val="32"/>
          <w:szCs w:val="32"/>
          <w:highlight w:val="none"/>
          <w:lang w:val="en-US" w:eastAsia="zh-CN"/>
        </w:rPr>
        <w:t>4.评估机构及其评估人员有下列情形之一的应当回避：一是与被评估的服务项目或该项目的承接机构有利害关系的；二是曾在承接该项目的机构任职，离职不满两年的；三是与评估的服务项目或者承接该项目的机构有其他关系，可能影响评估结果公正的。</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楷体_GB2312"/>
          <w:bCs/>
          <w:color w:val="auto"/>
          <w:sz w:val="32"/>
          <w:highlight w:val="none"/>
        </w:rPr>
      </w:pPr>
      <w:r>
        <w:rPr>
          <w:rFonts w:ascii="Times New Roman" w:hAnsi="Times New Roman" w:eastAsia="黑体"/>
          <w:bCs/>
          <w:color w:val="auto"/>
          <w:sz w:val="32"/>
          <w:highlight w:val="none"/>
        </w:rPr>
        <w:t>四、</w:t>
      </w:r>
      <w:r>
        <w:rPr>
          <w:rFonts w:hint="eastAsia" w:ascii="Times New Roman" w:hAnsi="Times New Roman" w:eastAsia="黑体"/>
          <w:bCs/>
          <w:color w:val="auto"/>
          <w:sz w:val="32"/>
          <w:highlight w:val="none"/>
          <w:lang w:val="en-US" w:eastAsia="zh-CN"/>
        </w:rPr>
        <w:t>项目</w:t>
      </w:r>
      <w:r>
        <w:rPr>
          <w:rFonts w:ascii="Times New Roman" w:hAnsi="Times New Roman" w:eastAsia="黑体"/>
          <w:bCs/>
          <w:color w:val="auto"/>
          <w:sz w:val="32"/>
          <w:highlight w:val="none"/>
        </w:rPr>
        <w:t>实施流程</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一</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制定</w:t>
      </w:r>
      <w:r>
        <w:rPr>
          <w:rFonts w:hint="eastAsia" w:ascii="Times New Roman" w:hAnsi="Times New Roman" w:eastAsia="仿宋_GB2312"/>
          <w:color w:val="auto"/>
          <w:sz w:val="32"/>
          <w:highlight w:val="none"/>
          <w:lang w:val="en-US" w:eastAsia="zh-CN"/>
        </w:rPr>
        <w:t>评估巡查</w:t>
      </w:r>
      <w:r>
        <w:rPr>
          <w:rFonts w:ascii="Times New Roman" w:hAnsi="Times New Roman" w:eastAsia="仿宋_GB2312"/>
          <w:color w:val="auto"/>
          <w:sz w:val="32"/>
          <w:highlight w:val="none"/>
        </w:rPr>
        <w:t>计划。评估</w:t>
      </w:r>
      <w:r>
        <w:rPr>
          <w:rFonts w:hint="eastAsia" w:ascii="Times New Roman" w:hAnsi="Times New Roman" w:eastAsia="仿宋_GB2312"/>
          <w:color w:val="auto"/>
          <w:sz w:val="32"/>
          <w:highlight w:val="none"/>
          <w:lang w:val="en-US" w:eastAsia="zh-CN"/>
        </w:rPr>
        <w:t>机构</w:t>
      </w:r>
      <w:r>
        <w:rPr>
          <w:rFonts w:ascii="Times New Roman" w:hAnsi="Times New Roman" w:eastAsia="仿宋_GB2312"/>
          <w:color w:val="auto"/>
          <w:sz w:val="32"/>
          <w:highlight w:val="none"/>
        </w:rPr>
        <w:t>应根据服务委托方的需求制定详细的</w:t>
      </w:r>
      <w:r>
        <w:rPr>
          <w:rFonts w:hint="eastAsia" w:ascii="Times New Roman" w:hAnsi="Times New Roman" w:eastAsia="仿宋_GB2312"/>
          <w:color w:val="auto"/>
          <w:sz w:val="32"/>
          <w:highlight w:val="none"/>
          <w:lang w:val="en-US" w:eastAsia="zh-CN"/>
        </w:rPr>
        <w:t>评估巡查</w:t>
      </w:r>
      <w:r>
        <w:rPr>
          <w:rFonts w:ascii="Times New Roman" w:hAnsi="Times New Roman" w:eastAsia="仿宋_GB2312"/>
          <w:color w:val="auto"/>
          <w:sz w:val="32"/>
          <w:highlight w:val="none"/>
        </w:rPr>
        <w:t>方案。</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二</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成立</w:t>
      </w:r>
      <w:r>
        <w:rPr>
          <w:rFonts w:hint="eastAsia" w:ascii="Times New Roman" w:hAnsi="Times New Roman" w:eastAsia="仿宋_GB2312"/>
          <w:color w:val="auto"/>
          <w:sz w:val="32"/>
          <w:highlight w:val="none"/>
          <w:lang w:val="en-US" w:eastAsia="zh-CN"/>
        </w:rPr>
        <w:t>评估巡查</w:t>
      </w:r>
      <w:r>
        <w:rPr>
          <w:rFonts w:ascii="Times New Roman" w:hAnsi="Times New Roman" w:eastAsia="仿宋_GB2312"/>
          <w:color w:val="auto"/>
          <w:sz w:val="32"/>
          <w:highlight w:val="none"/>
        </w:rPr>
        <w:t>小组。明确小组成员的工作分工，组织评估团队进行内部培训学习，详细剖析和学习评估指标。</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三</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进行</w:t>
      </w:r>
      <w:r>
        <w:rPr>
          <w:rFonts w:hint="eastAsia" w:ascii="Times New Roman" w:hAnsi="Times New Roman" w:eastAsia="仿宋_GB2312"/>
          <w:color w:val="auto"/>
          <w:sz w:val="32"/>
          <w:highlight w:val="none"/>
          <w:lang w:val="en-US" w:eastAsia="zh-CN"/>
        </w:rPr>
        <w:t>评估巡查</w:t>
      </w:r>
      <w:r>
        <w:rPr>
          <w:rFonts w:ascii="Times New Roman" w:hAnsi="Times New Roman" w:eastAsia="仿宋_GB2312"/>
          <w:color w:val="auto"/>
          <w:sz w:val="32"/>
          <w:highlight w:val="none"/>
        </w:rPr>
        <w:t>准备。安排1名专职工作人员负责与被评估项目的负责人进行工作对接，确认评估时间，准备评估材料。</w:t>
      </w:r>
    </w:p>
    <w:p>
      <w:pPr>
        <w:pStyle w:val="10"/>
        <w:keepNext w:val="0"/>
        <w:keepLines w:val="0"/>
        <w:pageBreakBefore w:val="0"/>
        <w:kinsoku/>
        <w:wordWrap/>
        <w:overflowPunct/>
        <w:topLinePunct w:val="0"/>
        <w:bidi w:val="0"/>
        <w:spacing w:line="560" w:lineRule="exact"/>
        <w:ind w:firstLine="640"/>
        <w:textAlignment w:val="auto"/>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四</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实地</w:t>
      </w:r>
      <w:r>
        <w:rPr>
          <w:rFonts w:ascii="Times New Roman" w:hAnsi="Times New Roman" w:eastAsia="仿宋_GB2312"/>
          <w:color w:val="auto"/>
          <w:sz w:val="32"/>
          <w:highlight w:val="none"/>
        </w:rPr>
        <w:t>评估。每次</w:t>
      </w:r>
      <w:r>
        <w:rPr>
          <w:rFonts w:hint="eastAsia" w:ascii="Times New Roman" w:hAnsi="Times New Roman" w:eastAsia="仿宋_GB2312" w:cs="Times New Roman"/>
          <w:color w:val="auto"/>
          <w:sz w:val="32"/>
          <w:highlight w:val="none"/>
          <w:lang w:val="en-US" w:eastAsia="zh-CN"/>
        </w:rPr>
        <w:t>街镇综合养老服务中心（颐康中心）评估</w:t>
      </w:r>
      <w:r>
        <w:rPr>
          <w:rFonts w:hint="eastAsia" w:eastAsia="仿宋_GB2312"/>
          <w:color w:val="auto"/>
          <w:sz w:val="32"/>
          <w:szCs w:val="32"/>
          <w:highlight w:val="none"/>
          <w:lang w:val="en-US" w:eastAsia="zh-CN"/>
        </w:rPr>
        <w:t>至少安排4名业务评估员和1名财务评估员参与</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评估机构组织评估员通过现场观察、文档查阅、人员访谈、信息系统数据核查、满意度调查等方式开展实地评估。评估员经运营机构同意并签署保密协议后，应通过拍照、录音、录像等方式对现场评估过程进行记录。评估机构根据社区养老服务设施层级，使用对应评分表进行评估。服务设施设置单位应安排相关工作人员到场协助开展评估工作。</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五</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评估分数统计。评估</w:t>
      </w:r>
      <w:r>
        <w:rPr>
          <w:rFonts w:hint="eastAsia" w:ascii="Times New Roman" w:hAnsi="Times New Roman" w:eastAsia="仿宋_GB2312"/>
          <w:color w:val="auto"/>
          <w:sz w:val="32"/>
          <w:highlight w:val="none"/>
          <w:lang w:val="en-US" w:eastAsia="zh-CN"/>
        </w:rPr>
        <w:t>机构</w:t>
      </w:r>
      <w:r>
        <w:rPr>
          <w:rFonts w:ascii="Times New Roman" w:hAnsi="Times New Roman" w:eastAsia="仿宋_GB2312"/>
          <w:color w:val="auto"/>
          <w:sz w:val="32"/>
          <w:highlight w:val="none"/>
        </w:rPr>
        <w:t>完成对</w:t>
      </w:r>
      <w:r>
        <w:rPr>
          <w:rFonts w:hint="eastAsia" w:ascii="Times New Roman" w:hAnsi="Times New Roman" w:eastAsia="仿宋_GB2312"/>
          <w:color w:val="auto"/>
          <w:sz w:val="32"/>
          <w:highlight w:val="none"/>
          <w:lang w:val="en-US" w:eastAsia="zh-CN"/>
        </w:rPr>
        <w:t>街镇</w:t>
      </w:r>
      <w:r>
        <w:rPr>
          <w:rFonts w:hint="eastAsia" w:ascii="Times New Roman" w:hAnsi="Times New Roman" w:eastAsia="仿宋_GB2312"/>
          <w:color w:val="auto"/>
          <w:sz w:val="32"/>
          <w:highlight w:val="none"/>
          <w:lang w:eastAsia="zh-CN"/>
        </w:rPr>
        <w:t>综合</w:t>
      </w:r>
      <w:r>
        <w:rPr>
          <w:rFonts w:ascii="Times New Roman" w:hAnsi="Times New Roman" w:eastAsia="仿宋_GB2312"/>
          <w:color w:val="auto"/>
          <w:sz w:val="32"/>
          <w:highlight w:val="none"/>
        </w:rPr>
        <w:t>养老服务</w:t>
      </w:r>
      <w:r>
        <w:rPr>
          <w:rFonts w:hint="eastAsia" w:ascii="Times New Roman" w:hAnsi="Times New Roman" w:eastAsia="仿宋_GB2312"/>
          <w:color w:val="auto"/>
          <w:sz w:val="32"/>
          <w:highlight w:val="none"/>
          <w:lang w:eastAsia="zh-CN"/>
        </w:rPr>
        <w:t>中心（颐康中心）</w:t>
      </w:r>
      <w:r>
        <w:rPr>
          <w:rFonts w:ascii="Times New Roman" w:hAnsi="Times New Roman" w:eastAsia="仿宋_GB2312"/>
          <w:color w:val="auto"/>
          <w:sz w:val="32"/>
          <w:highlight w:val="none"/>
        </w:rPr>
        <w:t>评估后，按计分规则计算出</w:t>
      </w:r>
      <w:r>
        <w:rPr>
          <w:rFonts w:hint="eastAsia" w:ascii="Times New Roman" w:hAnsi="Times New Roman" w:eastAsia="仿宋_GB2312"/>
          <w:color w:val="auto"/>
          <w:sz w:val="32"/>
          <w:highlight w:val="none"/>
          <w:lang w:val="en-US" w:eastAsia="zh-CN"/>
        </w:rPr>
        <w:t>镇街的</w:t>
      </w:r>
      <w:r>
        <w:rPr>
          <w:rFonts w:hint="eastAsia" w:ascii="Times New Roman" w:hAnsi="Times New Roman" w:eastAsia="仿宋_GB2312"/>
          <w:color w:val="auto"/>
          <w:sz w:val="32"/>
          <w:highlight w:val="none"/>
          <w:lang w:eastAsia="zh-CN"/>
        </w:rPr>
        <w:t>综合</w:t>
      </w:r>
      <w:r>
        <w:rPr>
          <w:rFonts w:ascii="Times New Roman" w:hAnsi="Times New Roman" w:eastAsia="仿宋_GB2312"/>
          <w:color w:val="auto"/>
          <w:sz w:val="32"/>
          <w:highlight w:val="none"/>
        </w:rPr>
        <w:t>养老服务</w:t>
      </w:r>
      <w:r>
        <w:rPr>
          <w:rFonts w:hint="eastAsia" w:ascii="Times New Roman" w:hAnsi="Times New Roman" w:eastAsia="仿宋_GB2312"/>
          <w:color w:val="auto"/>
          <w:sz w:val="32"/>
          <w:highlight w:val="none"/>
          <w:lang w:eastAsia="zh-CN"/>
        </w:rPr>
        <w:t>中心（颐康中心）</w:t>
      </w:r>
      <w:r>
        <w:rPr>
          <w:rFonts w:ascii="Times New Roman" w:hAnsi="Times New Roman" w:eastAsia="仿宋_GB2312"/>
          <w:color w:val="auto"/>
          <w:sz w:val="32"/>
          <w:highlight w:val="none"/>
        </w:rPr>
        <w:t>的综合得分。</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六</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撰写评估报告。实地评估结束后，评估员按照科学、客观的原则，以</w:t>
      </w:r>
      <w:r>
        <w:rPr>
          <w:rFonts w:hint="eastAsia" w:ascii="Times New Roman" w:hAnsi="Times New Roman" w:eastAsia="仿宋_GB2312"/>
          <w:color w:val="auto"/>
          <w:sz w:val="32"/>
          <w:highlight w:val="none"/>
          <w:lang w:val="en-US" w:eastAsia="zh-CN"/>
        </w:rPr>
        <w:t>街镇</w:t>
      </w:r>
      <w:r>
        <w:rPr>
          <w:rFonts w:hint="eastAsia" w:ascii="Times New Roman" w:hAnsi="Times New Roman" w:eastAsia="仿宋_GB2312"/>
          <w:color w:val="auto"/>
          <w:sz w:val="32"/>
          <w:highlight w:val="none"/>
          <w:lang w:eastAsia="zh-CN"/>
        </w:rPr>
        <w:t>综合</w:t>
      </w:r>
      <w:r>
        <w:rPr>
          <w:rFonts w:ascii="Times New Roman" w:hAnsi="Times New Roman" w:eastAsia="仿宋_GB2312"/>
          <w:color w:val="auto"/>
          <w:sz w:val="32"/>
          <w:highlight w:val="none"/>
        </w:rPr>
        <w:t>养老服务</w:t>
      </w:r>
      <w:r>
        <w:rPr>
          <w:rFonts w:hint="eastAsia" w:ascii="Times New Roman" w:hAnsi="Times New Roman" w:eastAsia="仿宋_GB2312"/>
          <w:color w:val="auto"/>
          <w:sz w:val="32"/>
          <w:highlight w:val="none"/>
          <w:lang w:eastAsia="zh-CN"/>
        </w:rPr>
        <w:t>中心（颐康中心）为</w:t>
      </w:r>
      <w:r>
        <w:rPr>
          <w:rFonts w:ascii="Times New Roman" w:hAnsi="Times New Roman" w:eastAsia="仿宋_GB2312"/>
          <w:color w:val="auto"/>
          <w:sz w:val="32"/>
          <w:highlight w:val="none"/>
        </w:rPr>
        <w:t>单位撰写评估报告，上报区</w:t>
      </w:r>
      <w:r>
        <w:rPr>
          <w:rFonts w:hint="eastAsia" w:ascii="Times New Roman" w:hAnsi="Times New Roman" w:eastAsia="仿宋_GB2312"/>
          <w:color w:val="auto"/>
          <w:sz w:val="32"/>
          <w:highlight w:val="none"/>
          <w:lang w:val="en-US" w:eastAsia="zh-CN"/>
        </w:rPr>
        <w:t>民政部门</w:t>
      </w:r>
      <w:r>
        <w:rPr>
          <w:rFonts w:ascii="Times New Roman" w:hAnsi="Times New Roman" w:eastAsia="仿宋_GB2312"/>
          <w:color w:val="auto"/>
          <w:sz w:val="32"/>
          <w:highlight w:val="none"/>
        </w:rPr>
        <w:t>，同时做好评估数据的统计分析工作。</w:t>
      </w:r>
    </w:p>
    <w:p>
      <w:pPr>
        <w:pStyle w:val="10"/>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val="en-US" w:eastAsia="zh-CN"/>
        </w:rPr>
        <w:t>（七）</w:t>
      </w:r>
      <w:r>
        <w:rPr>
          <w:rFonts w:hint="eastAsia" w:ascii="仿宋_GB2312" w:hAnsi="仿宋_GB2312" w:eastAsia="仿宋_GB2312" w:cs="仿宋_GB2312"/>
          <w:color w:val="auto"/>
          <w:sz w:val="32"/>
          <w:highlight w:val="none"/>
          <w:lang w:eastAsia="zh-CN"/>
        </w:rPr>
        <w:t>估结果公示及确认</w:t>
      </w:r>
    </w:p>
    <w:p>
      <w:pPr>
        <w:pStyle w:val="10"/>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val="en-US" w:eastAsia="zh-CN"/>
        </w:rPr>
        <w:t>区</w:t>
      </w:r>
      <w:r>
        <w:rPr>
          <w:rFonts w:hint="eastAsia" w:ascii="仿宋_GB2312" w:hAnsi="仿宋_GB2312" w:eastAsia="仿宋_GB2312" w:cs="仿宋_GB2312"/>
          <w:color w:val="auto"/>
          <w:sz w:val="32"/>
          <w:highlight w:val="none"/>
          <w:lang w:eastAsia="zh-CN"/>
        </w:rPr>
        <w:t>民政部门收到评估报告后，将评估结果对外公示10 天，同时将公示信息送达运营机构。公示结束后5个工作日内，相应的</w:t>
      </w:r>
      <w:r>
        <w:rPr>
          <w:rFonts w:hint="eastAsia" w:ascii="仿宋_GB2312" w:hAnsi="仿宋_GB2312" w:eastAsia="仿宋_GB2312" w:cs="仿宋_GB2312"/>
          <w:color w:val="auto"/>
          <w:sz w:val="32"/>
          <w:highlight w:val="none"/>
          <w:lang w:val="en-US" w:eastAsia="zh-CN"/>
        </w:rPr>
        <w:t>区</w:t>
      </w:r>
      <w:r>
        <w:rPr>
          <w:rFonts w:hint="eastAsia" w:ascii="仿宋_GB2312" w:hAnsi="仿宋_GB2312" w:eastAsia="仿宋_GB2312" w:cs="仿宋_GB2312"/>
          <w:color w:val="auto"/>
          <w:sz w:val="32"/>
          <w:highlight w:val="none"/>
          <w:lang w:eastAsia="zh-CN"/>
        </w:rPr>
        <w:t>民政部门确认评估结果，并将评估报告(纸质盖章件) 送达运营机构。</w:t>
      </w:r>
    </w:p>
    <w:p>
      <w:pPr>
        <w:pStyle w:val="10"/>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highlight w:val="none"/>
          <w:lang w:eastAsia="zh-CN"/>
        </w:rPr>
      </w:pPr>
      <w:r>
        <w:rPr>
          <w:rFonts w:hint="eastAsia" w:ascii="仿宋_GB2312" w:hAnsi="仿宋_GB2312" w:eastAsia="仿宋_GB2312" w:cs="仿宋_GB2312"/>
          <w:color w:val="auto"/>
          <w:sz w:val="32"/>
          <w:highlight w:val="none"/>
          <w:lang w:eastAsia="zh-CN"/>
        </w:rPr>
        <w:t>运营机构对评估结果有异议的，应在公示期内提出复评申请，复评组织实施单位在收到复评申请后 10 个工作日内完成复评，复评结果为最终结果。其中</w:t>
      </w:r>
      <w:r>
        <w:rPr>
          <w:rFonts w:hint="eastAsia" w:ascii="仿宋_GB2312" w:hAnsi="仿宋_GB2312" w:eastAsia="仿宋_GB2312" w:cs="仿宋_GB2312"/>
          <w:color w:val="auto"/>
          <w:sz w:val="32"/>
          <w:highlight w:val="none"/>
          <w:lang w:val="en-US" w:eastAsia="zh-CN"/>
        </w:rPr>
        <w:t>街镇</w:t>
      </w:r>
      <w:r>
        <w:rPr>
          <w:rFonts w:hint="eastAsia" w:ascii="仿宋_GB2312" w:hAnsi="仿宋_GB2312" w:eastAsia="仿宋_GB2312" w:cs="仿宋_GB2312"/>
          <w:color w:val="auto"/>
          <w:sz w:val="32"/>
          <w:highlight w:val="none"/>
          <w:lang w:eastAsia="zh-CN"/>
        </w:rPr>
        <w:t>级社区养老服务设施由市核养中心组织复评，评估组织实施单位组织复评时不得安排初评的评估员参与，其中委托第三方机构进行复评的，民政部门在实地复评时应安排工作人员陪同监督。</w:t>
      </w:r>
    </w:p>
    <w:p>
      <w:pPr>
        <w:keepNext w:val="0"/>
        <w:keepLines w:val="0"/>
        <w:pageBreakBefore w:val="0"/>
        <w:kinsoku/>
        <w:wordWrap/>
        <w:overflowPunct/>
        <w:topLinePunct w:val="0"/>
        <w:bidi w:val="0"/>
        <w:spacing w:line="560" w:lineRule="exact"/>
        <w:ind w:firstLine="640" w:firstLineChars="200"/>
        <w:textAlignment w:val="auto"/>
        <w:rPr>
          <w:rFonts w:eastAsia="黑体"/>
          <w:color w:val="auto"/>
          <w:sz w:val="32"/>
          <w:highlight w:val="none"/>
        </w:rPr>
      </w:pPr>
      <w:r>
        <w:rPr>
          <w:rFonts w:eastAsia="黑体"/>
          <w:color w:val="auto"/>
          <w:sz w:val="32"/>
          <w:highlight w:val="none"/>
        </w:rPr>
        <w:t>五、保密原则</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auto"/>
          <w:kern w:val="24"/>
          <w:sz w:val="32"/>
          <w:szCs w:val="32"/>
          <w:highlight w:val="none"/>
        </w:rPr>
      </w:pPr>
      <w:r>
        <w:rPr>
          <w:rFonts w:hint="eastAsia" w:eastAsia="仿宋_GB2312"/>
          <w:color w:val="auto"/>
          <w:sz w:val="32"/>
          <w:szCs w:val="32"/>
          <w:highlight w:val="none"/>
          <w:lang w:val="en-US" w:eastAsia="zh-CN"/>
        </w:rPr>
        <w:t>评估机构</w:t>
      </w:r>
      <w:r>
        <w:rPr>
          <w:rFonts w:eastAsia="仿宋_GB2312"/>
          <w:color w:val="auto"/>
          <w:kern w:val="24"/>
          <w:sz w:val="32"/>
          <w:szCs w:val="32"/>
          <w:highlight w:val="none"/>
        </w:rPr>
        <w:t>须对本项目涉及</w:t>
      </w:r>
      <w:r>
        <w:rPr>
          <w:rFonts w:hint="eastAsia" w:eastAsia="仿宋_GB2312"/>
          <w:color w:val="auto"/>
          <w:kern w:val="24"/>
          <w:sz w:val="32"/>
          <w:szCs w:val="32"/>
          <w:highlight w:val="none"/>
        </w:rPr>
        <w:t>的</w:t>
      </w:r>
      <w:r>
        <w:rPr>
          <w:rFonts w:eastAsia="仿宋_GB2312"/>
          <w:color w:val="auto"/>
          <w:kern w:val="24"/>
          <w:sz w:val="32"/>
          <w:szCs w:val="32"/>
          <w:highlight w:val="none"/>
        </w:rPr>
        <w:t>评估相关信息进行保密，未经</w:t>
      </w:r>
      <w:r>
        <w:rPr>
          <w:rFonts w:hint="eastAsia" w:eastAsia="仿宋_GB2312"/>
          <w:color w:val="auto"/>
          <w:kern w:val="24"/>
          <w:sz w:val="32"/>
          <w:szCs w:val="32"/>
          <w:highlight w:val="none"/>
        </w:rPr>
        <w:t>区民政局</w:t>
      </w:r>
      <w:r>
        <w:rPr>
          <w:rFonts w:eastAsia="仿宋_GB2312"/>
          <w:color w:val="auto"/>
          <w:kern w:val="24"/>
          <w:sz w:val="32"/>
          <w:szCs w:val="32"/>
          <w:highlight w:val="none"/>
        </w:rPr>
        <w:t>书面许可，不得对外披露，不得以任何形式提供给第三方，不得在参与本项目工作之外使用这些保密信息。</w:t>
      </w:r>
    </w:p>
    <w:p>
      <w:pPr>
        <w:keepNext w:val="0"/>
        <w:keepLines w:val="0"/>
        <w:pageBreakBefore w:val="0"/>
        <w:kinsoku/>
        <w:wordWrap/>
        <w:overflowPunct/>
        <w:topLinePunct w:val="0"/>
        <w:bidi w:val="0"/>
        <w:spacing w:line="56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val="en-US" w:eastAsia="zh-CN"/>
        </w:rPr>
        <w:t>评估机构</w:t>
      </w:r>
      <w:r>
        <w:rPr>
          <w:rFonts w:eastAsia="仿宋_GB2312"/>
          <w:color w:val="auto"/>
          <w:kern w:val="24"/>
          <w:sz w:val="32"/>
          <w:szCs w:val="32"/>
          <w:highlight w:val="none"/>
        </w:rPr>
        <w:t>在本项目终止后</w:t>
      </w:r>
      <w:r>
        <w:rPr>
          <w:rFonts w:hint="eastAsia" w:eastAsia="仿宋_GB2312"/>
          <w:color w:val="auto"/>
          <w:kern w:val="24"/>
          <w:sz w:val="32"/>
          <w:szCs w:val="32"/>
          <w:highlight w:val="none"/>
        </w:rPr>
        <w:t>需将项目过程中的所有纸质版、电子版资料移交给区民政局，</w:t>
      </w:r>
      <w:r>
        <w:rPr>
          <w:rFonts w:eastAsia="仿宋_GB2312"/>
          <w:color w:val="auto"/>
          <w:kern w:val="24"/>
          <w:sz w:val="32"/>
          <w:szCs w:val="32"/>
          <w:highlight w:val="none"/>
        </w:rPr>
        <w:t>不得保留以任何形式存储的评估信息数据，不得利用该项目的保密信息数据为其他的单位（包括自办单位）或项目服务。</w:t>
      </w:r>
    </w:p>
    <w:p>
      <w:pPr>
        <w:keepNext w:val="0"/>
        <w:keepLines w:val="0"/>
        <w:pageBreakBefore w:val="0"/>
        <w:kinsoku/>
        <w:wordWrap/>
        <w:overflowPunct/>
        <w:topLinePunct w:val="0"/>
        <w:bidi w:val="0"/>
        <w:spacing w:line="560" w:lineRule="exact"/>
        <w:ind w:firstLine="640" w:firstLineChars="200"/>
        <w:textAlignment w:val="auto"/>
        <w:rPr>
          <w:rFonts w:eastAsia="黑体"/>
          <w:b/>
          <w:bCs/>
          <w:color w:val="auto"/>
          <w:sz w:val="32"/>
          <w:szCs w:val="32"/>
          <w:highlight w:val="none"/>
        </w:rPr>
      </w:pPr>
      <w:r>
        <w:rPr>
          <w:rFonts w:eastAsia="黑体"/>
          <w:color w:val="auto"/>
          <w:sz w:val="32"/>
          <w:szCs w:val="32"/>
          <w:highlight w:val="none"/>
        </w:rPr>
        <w:t>六、</w:t>
      </w:r>
      <w:r>
        <w:rPr>
          <w:rFonts w:hint="eastAsia" w:eastAsia="黑体"/>
          <w:color w:val="auto"/>
          <w:sz w:val="32"/>
          <w:szCs w:val="32"/>
          <w:highlight w:val="none"/>
          <w:lang w:eastAsia="zh-CN"/>
        </w:rPr>
        <w:t>项目</w:t>
      </w:r>
      <w:r>
        <w:rPr>
          <w:rFonts w:eastAsia="黑体"/>
          <w:color w:val="auto"/>
          <w:sz w:val="32"/>
          <w:szCs w:val="32"/>
          <w:highlight w:val="none"/>
        </w:rPr>
        <w:t>验收</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ascii="Times New Roman" w:hAnsi="Times New Roman" w:eastAsia="仿宋_GB2312"/>
          <w:color w:val="auto"/>
          <w:sz w:val="32"/>
          <w:highlight w:val="none"/>
        </w:rPr>
        <w:t>验收表如下：100分为满分，60分为合格，不满60分为不合格。以60分为界，每低1分服务购买方直接在当期向评估机构支付的费用中扣取1%</w:t>
      </w:r>
      <w:r>
        <w:rPr>
          <w:rFonts w:hint="eastAsia" w:ascii="Times New Roman" w:hAnsi="Times New Roman" w:eastAsia="仿宋_GB2312"/>
          <w:color w:val="auto"/>
          <w:sz w:val="32"/>
          <w:highlight w:val="none"/>
          <w:lang w:eastAsia="zh-CN"/>
        </w:rPr>
        <w:t>，作为</w:t>
      </w:r>
      <w:r>
        <w:rPr>
          <w:rFonts w:ascii="Times New Roman" w:hAnsi="Times New Roman" w:eastAsia="仿宋_GB2312"/>
          <w:color w:val="auto"/>
          <w:sz w:val="32"/>
          <w:highlight w:val="none"/>
        </w:rPr>
        <w:t>违约金。</w:t>
      </w:r>
    </w:p>
    <w:p>
      <w:pPr>
        <w:pStyle w:val="10"/>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楷体_GB2312"/>
          <w:b/>
          <w:bCs/>
          <w:color w:val="auto"/>
          <w:sz w:val="32"/>
          <w:highlight w:val="none"/>
        </w:rPr>
      </w:pPr>
      <w:r>
        <w:rPr>
          <w:rFonts w:hint="eastAsia" w:ascii="Times New Roman" w:hAnsi="Times New Roman" w:eastAsia="楷体_GB2312"/>
          <w:b/>
          <w:bCs/>
          <w:color w:val="auto"/>
          <w:sz w:val="32"/>
          <w:highlight w:val="none"/>
          <w:lang w:val="en-US" w:eastAsia="zh-CN"/>
        </w:rPr>
        <w:t>项目</w:t>
      </w:r>
      <w:r>
        <w:rPr>
          <w:rFonts w:ascii="Times New Roman" w:hAnsi="Times New Roman" w:eastAsia="楷体_GB2312"/>
          <w:b/>
          <w:bCs/>
          <w:color w:val="auto"/>
          <w:sz w:val="32"/>
          <w:highlight w:val="none"/>
        </w:rPr>
        <w:t>验收表</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20"/>
        <w:gridCol w:w="4303"/>
        <w:gridCol w:w="930"/>
        <w:gridCol w:w="870"/>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43"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序号</w:t>
            </w:r>
          </w:p>
        </w:tc>
        <w:tc>
          <w:tcPr>
            <w:tcW w:w="132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评审项目</w:t>
            </w:r>
          </w:p>
        </w:tc>
        <w:tc>
          <w:tcPr>
            <w:tcW w:w="4303"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评审内容</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分值</w:t>
            </w:r>
          </w:p>
        </w:tc>
        <w:tc>
          <w:tcPr>
            <w:tcW w:w="870" w:type="dxa"/>
            <w:noWrap w:val="0"/>
            <w:vAlign w:val="center"/>
          </w:tcPr>
          <w:p>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操作办法</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黑体"/>
                <w:bCs/>
                <w:color w:val="auto"/>
                <w:sz w:val="24"/>
                <w:highlight w:val="none"/>
              </w:rPr>
            </w:pPr>
            <w:r>
              <w:rPr>
                <w:rFonts w:eastAsia="黑体"/>
                <w:bCs/>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w:t>
            </w:r>
          </w:p>
        </w:tc>
        <w:tc>
          <w:tcPr>
            <w:tcW w:w="1320" w:type="dxa"/>
            <w:vMerge w:val="restart"/>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人员配置（15分）</w:t>
            </w: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eastAsia="仿宋_GB2312"/>
                <w:color w:val="auto"/>
                <w:sz w:val="24"/>
                <w:highlight w:val="none"/>
                <w:lang w:val="en-US" w:eastAsia="zh-CN"/>
              </w:rPr>
            </w:pPr>
            <w:r>
              <w:rPr>
                <w:rFonts w:eastAsia="仿宋_GB2312"/>
                <w:color w:val="auto"/>
                <w:sz w:val="24"/>
                <w:highlight w:val="none"/>
              </w:rPr>
              <w:t>按要求配备</w:t>
            </w:r>
            <w:r>
              <w:rPr>
                <w:rFonts w:hint="eastAsia" w:eastAsia="仿宋_GB2312"/>
                <w:color w:val="auto"/>
                <w:sz w:val="24"/>
                <w:highlight w:val="none"/>
                <w:lang w:val="en-US" w:eastAsia="zh-CN"/>
              </w:rPr>
              <w:t>工作</w:t>
            </w:r>
            <w:r>
              <w:rPr>
                <w:rFonts w:eastAsia="仿宋_GB2312"/>
                <w:color w:val="auto"/>
                <w:sz w:val="24"/>
                <w:highlight w:val="none"/>
              </w:rPr>
              <w:t>人员，</w:t>
            </w:r>
            <w:r>
              <w:rPr>
                <w:rFonts w:hint="eastAsia" w:eastAsia="仿宋_GB2312"/>
                <w:color w:val="auto"/>
                <w:sz w:val="24"/>
                <w:highlight w:val="none"/>
                <w:lang w:val="en-US" w:eastAsia="zh-CN"/>
              </w:rPr>
              <w:t>工作</w:t>
            </w:r>
            <w:r>
              <w:rPr>
                <w:rFonts w:eastAsia="仿宋_GB2312"/>
                <w:color w:val="auto"/>
                <w:sz w:val="24"/>
                <w:highlight w:val="none"/>
              </w:rPr>
              <w:t>人员具备专业技术条件</w:t>
            </w:r>
            <w:r>
              <w:rPr>
                <w:rFonts w:hint="eastAsia" w:eastAsia="仿宋_GB2312"/>
                <w:color w:val="auto"/>
                <w:sz w:val="24"/>
                <w:highlight w:val="none"/>
                <w:lang w:eastAsia="zh-CN"/>
              </w:rPr>
              <w:t>。</w:t>
            </w:r>
            <w:r>
              <w:rPr>
                <w:rFonts w:eastAsia="仿宋_GB2312"/>
                <w:color w:val="auto"/>
                <w:sz w:val="24"/>
                <w:highlight w:val="none"/>
              </w:rPr>
              <w:t>每次</w:t>
            </w:r>
            <w:r>
              <w:rPr>
                <w:rFonts w:hint="eastAsia" w:eastAsia="仿宋_GB2312"/>
                <w:color w:val="auto"/>
                <w:sz w:val="24"/>
                <w:highlight w:val="none"/>
                <w:lang w:val="en-US" w:eastAsia="zh-CN"/>
              </w:rPr>
              <w:t>街镇综合养老服务中心（颐康</w:t>
            </w:r>
            <w:r>
              <w:rPr>
                <w:rFonts w:hint="eastAsia" w:ascii="Times New Roman" w:hAnsi="Times New Roman" w:eastAsia="仿宋_GB2312" w:cs="Times New Roman"/>
                <w:color w:val="auto"/>
                <w:sz w:val="24"/>
                <w:highlight w:val="none"/>
                <w:lang w:val="en-US" w:eastAsia="zh-CN"/>
              </w:rPr>
              <w:t>中心）</w:t>
            </w:r>
            <w:r>
              <w:rPr>
                <w:rFonts w:eastAsia="仿宋_GB2312"/>
                <w:color w:val="auto"/>
                <w:sz w:val="24"/>
                <w:highlight w:val="none"/>
              </w:rPr>
              <w:t>评估</w:t>
            </w:r>
            <w:r>
              <w:rPr>
                <w:rFonts w:hint="eastAsia" w:eastAsia="仿宋_GB2312"/>
                <w:color w:val="auto"/>
                <w:sz w:val="24"/>
                <w:highlight w:val="none"/>
                <w:lang w:val="en-US" w:eastAsia="zh-CN"/>
              </w:rPr>
              <w:t>至少安排4名业务评估员和1名财务评估员参与，每次巡查至少安排2名业务评估员参与。评估员所评估的内容应当与专业技能相适应</w:t>
            </w:r>
            <w:r>
              <w:rPr>
                <w:rFonts w:hint="eastAsia" w:eastAsia="仿宋_GB2312"/>
                <w:color w:val="auto"/>
                <w:sz w:val="24"/>
                <w:highlight w:val="none"/>
                <w:lang w:eastAsia="zh-CN"/>
              </w:rPr>
              <w:t>。</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资料查阅，回访</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43" w:type="dxa"/>
            <w:vMerge w:val="continue"/>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1320" w:type="dxa"/>
            <w:vMerge w:val="continue"/>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eastAsia="仿宋_GB2312"/>
                <w:color w:val="auto"/>
                <w:sz w:val="24"/>
                <w:highlight w:val="none"/>
              </w:rPr>
            </w:pPr>
            <w:r>
              <w:rPr>
                <w:rFonts w:hint="eastAsia" w:eastAsia="仿宋_GB2312"/>
                <w:color w:val="auto"/>
                <w:sz w:val="24"/>
                <w:highlight w:val="none"/>
                <w:lang w:val="en-US" w:eastAsia="zh-CN"/>
              </w:rPr>
              <w:t>工作人员</w:t>
            </w:r>
            <w:r>
              <w:rPr>
                <w:rFonts w:eastAsia="仿宋_GB2312"/>
                <w:color w:val="auto"/>
                <w:sz w:val="24"/>
                <w:highlight w:val="none"/>
              </w:rPr>
              <w:t>能够按流程顺利完成评估</w:t>
            </w:r>
            <w:r>
              <w:rPr>
                <w:rFonts w:hint="eastAsia" w:eastAsia="仿宋_GB2312"/>
                <w:color w:val="auto"/>
                <w:sz w:val="24"/>
                <w:highlight w:val="none"/>
                <w:lang w:val="en-US" w:eastAsia="zh-CN"/>
              </w:rPr>
              <w:t>巡查收工作</w:t>
            </w:r>
            <w:r>
              <w:rPr>
                <w:rFonts w:eastAsia="仿宋_GB2312"/>
                <w:color w:val="auto"/>
                <w:sz w:val="24"/>
                <w:highlight w:val="none"/>
              </w:rPr>
              <w:t>，熟悉</w:t>
            </w:r>
            <w:r>
              <w:rPr>
                <w:rFonts w:hint="eastAsia" w:eastAsia="仿宋_GB2312"/>
                <w:color w:val="auto"/>
                <w:sz w:val="24"/>
                <w:highlight w:val="none"/>
                <w:lang w:val="en-US" w:eastAsia="zh-CN"/>
              </w:rPr>
              <w:t>巡查</w:t>
            </w:r>
            <w:r>
              <w:rPr>
                <w:rFonts w:eastAsia="仿宋_GB2312"/>
                <w:color w:val="auto"/>
                <w:sz w:val="24"/>
                <w:highlight w:val="none"/>
              </w:rPr>
              <w:t>评估</w:t>
            </w:r>
            <w:r>
              <w:rPr>
                <w:rFonts w:hint="eastAsia" w:eastAsia="仿宋_GB2312"/>
                <w:color w:val="auto"/>
                <w:sz w:val="24"/>
                <w:highlight w:val="none"/>
                <w:lang w:val="en-US" w:eastAsia="zh-CN"/>
              </w:rPr>
              <w:t>或验收</w:t>
            </w:r>
            <w:r>
              <w:rPr>
                <w:rFonts w:eastAsia="仿宋_GB2312"/>
                <w:color w:val="auto"/>
                <w:sz w:val="24"/>
                <w:highlight w:val="none"/>
              </w:rPr>
              <w:t>量表</w:t>
            </w:r>
            <w:r>
              <w:rPr>
                <w:rFonts w:hint="eastAsia" w:eastAsia="仿宋_GB2312"/>
                <w:color w:val="auto"/>
                <w:sz w:val="24"/>
                <w:highlight w:val="none"/>
                <w:lang w:val="en-US" w:eastAsia="zh-CN"/>
              </w:rPr>
              <w:t>和</w:t>
            </w:r>
            <w:r>
              <w:rPr>
                <w:rFonts w:eastAsia="仿宋_GB2312"/>
                <w:color w:val="auto"/>
                <w:sz w:val="24"/>
                <w:highlight w:val="none"/>
              </w:rPr>
              <w:t>工具的使用。</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5</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现场检查</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2</w:t>
            </w:r>
          </w:p>
        </w:tc>
        <w:tc>
          <w:tcPr>
            <w:tcW w:w="132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管理机制（5分）</w:t>
            </w: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eastAsia="仿宋_GB2312"/>
                <w:color w:val="auto"/>
                <w:sz w:val="24"/>
                <w:highlight w:val="none"/>
              </w:rPr>
              <w:t>建立内部质量管理制度健全，流程规范。</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5</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3" w:type="dxa"/>
            <w:vMerge w:val="restart"/>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3</w:t>
            </w:r>
          </w:p>
        </w:tc>
        <w:tc>
          <w:tcPr>
            <w:tcW w:w="1320" w:type="dxa"/>
            <w:vMerge w:val="restart"/>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完成率</w:t>
            </w:r>
          </w:p>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（20分）</w:t>
            </w: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eastAsia="仿宋_GB2312"/>
                <w:color w:val="auto"/>
                <w:sz w:val="24"/>
                <w:highlight w:val="none"/>
              </w:rPr>
              <w:t>评估</w:t>
            </w:r>
            <w:r>
              <w:rPr>
                <w:rFonts w:hint="eastAsia" w:eastAsia="仿宋_GB2312"/>
                <w:color w:val="auto"/>
                <w:sz w:val="24"/>
                <w:highlight w:val="none"/>
                <w:lang w:val="en-US" w:eastAsia="zh-CN"/>
              </w:rPr>
              <w:t>巡查</w:t>
            </w:r>
            <w:r>
              <w:rPr>
                <w:rFonts w:eastAsia="仿宋_GB2312"/>
                <w:color w:val="auto"/>
                <w:sz w:val="24"/>
                <w:highlight w:val="none"/>
              </w:rPr>
              <w:t>完成率达到100%，没有出现少、漏对象的行为。</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3" w:type="dxa"/>
            <w:vMerge w:val="continue"/>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1320" w:type="dxa"/>
            <w:vMerge w:val="continue"/>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hint="eastAsia" w:eastAsia="仿宋_GB2312"/>
                <w:color w:val="auto"/>
                <w:sz w:val="24"/>
                <w:highlight w:val="none"/>
                <w:lang w:val="en-US" w:eastAsia="zh-CN"/>
              </w:rPr>
              <w:t>工作人员</w:t>
            </w:r>
            <w:r>
              <w:rPr>
                <w:rFonts w:eastAsia="仿宋_GB2312"/>
                <w:color w:val="auto"/>
                <w:sz w:val="24"/>
                <w:highlight w:val="none"/>
              </w:rPr>
              <w:t>遵照标准规定的参数和程序进行专业评判，并完整编写评估</w:t>
            </w:r>
            <w:r>
              <w:rPr>
                <w:rFonts w:hint="eastAsia" w:eastAsia="仿宋_GB2312"/>
                <w:color w:val="auto"/>
                <w:sz w:val="24"/>
                <w:highlight w:val="none"/>
                <w:lang w:val="en-US" w:eastAsia="zh-CN"/>
              </w:rPr>
              <w:t>或验收</w:t>
            </w:r>
            <w:r>
              <w:rPr>
                <w:rFonts w:eastAsia="仿宋_GB2312"/>
                <w:color w:val="auto"/>
                <w:sz w:val="24"/>
                <w:highlight w:val="none"/>
              </w:rPr>
              <w:t>报告。</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资料查阅、回访</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4</w:t>
            </w:r>
          </w:p>
        </w:tc>
        <w:tc>
          <w:tcPr>
            <w:tcW w:w="132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评估建档</w:t>
            </w:r>
          </w:p>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（10分）</w:t>
            </w: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eastAsia="仿宋_GB2312"/>
                <w:color w:val="auto"/>
                <w:sz w:val="24"/>
                <w:highlight w:val="none"/>
              </w:rPr>
              <w:t>妥善保管</w:t>
            </w:r>
            <w:r>
              <w:rPr>
                <w:rFonts w:hint="eastAsia" w:eastAsia="仿宋_GB2312"/>
                <w:color w:val="auto"/>
                <w:sz w:val="24"/>
                <w:highlight w:val="none"/>
                <w:lang w:val="en-US" w:eastAsia="zh-CN"/>
              </w:rPr>
              <w:t>工作</w:t>
            </w:r>
            <w:r>
              <w:rPr>
                <w:rFonts w:eastAsia="仿宋_GB2312"/>
                <w:color w:val="auto"/>
                <w:sz w:val="24"/>
                <w:highlight w:val="none"/>
              </w:rPr>
              <w:t>材料，包括签到表、现场照片、</w:t>
            </w:r>
            <w:r>
              <w:rPr>
                <w:rFonts w:hint="eastAsia" w:eastAsia="仿宋_GB2312"/>
                <w:color w:val="auto"/>
                <w:sz w:val="24"/>
                <w:highlight w:val="none"/>
                <w:lang w:val="en-US" w:eastAsia="zh-CN"/>
              </w:rPr>
              <w:t>量</w:t>
            </w:r>
            <w:r>
              <w:rPr>
                <w:rFonts w:eastAsia="仿宋_GB2312"/>
                <w:color w:val="auto"/>
                <w:sz w:val="24"/>
                <w:highlight w:val="none"/>
              </w:rPr>
              <w:t>表、评估报告等资料。</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 xml:space="preserve">资料查阅 </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5</w:t>
            </w:r>
          </w:p>
        </w:tc>
        <w:tc>
          <w:tcPr>
            <w:tcW w:w="1320" w:type="dxa"/>
            <w:vMerge w:val="restart"/>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满意度</w:t>
            </w:r>
          </w:p>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（20分）</w:t>
            </w: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hint="eastAsia" w:eastAsia="仿宋_GB2312"/>
                <w:color w:val="auto"/>
                <w:sz w:val="24"/>
                <w:highlight w:val="none"/>
                <w:lang w:val="en-US" w:eastAsia="zh-CN"/>
              </w:rPr>
              <w:t>工作人</w:t>
            </w:r>
            <w:r>
              <w:rPr>
                <w:rFonts w:eastAsia="仿宋_GB2312"/>
                <w:color w:val="auto"/>
                <w:sz w:val="24"/>
                <w:highlight w:val="none"/>
              </w:rPr>
              <w:t>员行为规范，专业、严谨，满意度达到80%以上。（抽样）</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回访</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1320" w:type="dxa"/>
            <w:vMerge w:val="continue"/>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eastAsia="仿宋_GB2312"/>
                <w:color w:val="auto"/>
                <w:sz w:val="24"/>
                <w:highlight w:val="none"/>
              </w:rPr>
            </w:pPr>
            <w:r>
              <w:rPr>
                <w:rFonts w:eastAsia="仿宋_GB2312"/>
                <w:color w:val="auto"/>
                <w:sz w:val="24"/>
                <w:highlight w:val="none"/>
              </w:rPr>
              <w:t>项目开展过程中没有受到被评估</w:t>
            </w:r>
            <w:r>
              <w:rPr>
                <w:rFonts w:hint="eastAsia" w:eastAsia="仿宋_GB2312"/>
                <w:color w:val="auto"/>
                <w:sz w:val="24"/>
                <w:highlight w:val="none"/>
                <w:lang w:val="en-US" w:eastAsia="zh-CN"/>
              </w:rPr>
              <w:t>巡查</w:t>
            </w:r>
            <w:r>
              <w:rPr>
                <w:rFonts w:eastAsia="仿宋_GB2312"/>
                <w:color w:val="auto"/>
                <w:sz w:val="24"/>
                <w:highlight w:val="none"/>
              </w:rPr>
              <w:t>方的投诉。</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3" w:type="dxa"/>
            <w:vMerge w:val="restart"/>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6</w:t>
            </w:r>
          </w:p>
        </w:tc>
        <w:tc>
          <w:tcPr>
            <w:tcW w:w="1320" w:type="dxa"/>
            <w:vMerge w:val="restart"/>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质量控制（30分）</w:t>
            </w: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eastAsia="仿宋_GB2312"/>
                <w:color w:val="auto"/>
                <w:sz w:val="24"/>
                <w:highlight w:val="none"/>
              </w:rPr>
            </w:pPr>
            <w:r>
              <w:rPr>
                <w:rFonts w:hint="eastAsia" w:eastAsia="仿宋_GB2312"/>
                <w:color w:val="auto"/>
                <w:sz w:val="24"/>
                <w:highlight w:val="none"/>
                <w:lang w:val="en-US" w:eastAsia="zh-CN"/>
              </w:rPr>
              <w:t>工作</w:t>
            </w:r>
            <w:r>
              <w:rPr>
                <w:rFonts w:eastAsia="仿宋_GB2312"/>
                <w:color w:val="auto"/>
                <w:sz w:val="24"/>
                <w:highlight w:val="none"/>
              </w:rPr>
              <w:t>报告清晰，内容完善，对</w:t>
            </w:r>
            <w:r>
              <w:rPr>
                <w:rFonts w:hint="eastAsia" w:eastAsia="仿宋_GB2312"/>
                <w:color w:val="auto"/>
                <w:sz w:val="24"/>
                <w:highlight w:val="none"/>
                <w:lang w:val="en-US" w:eastAsia="zh-CN"/>
              </w:rPr>
              <w:t>实际</w:t>
            </w:r>
            <w:r>
              <w:rPr>
                <w:rFonts w:eastAsia="仿宋_GB2312"/>
                <w:color w:val="auto"/>
                <w:sz w:val="24"/>
                <w:highlight w:val="none"/>
              </w:rPr>
              <w:t>情况描述准确，对后续服务项目的完善发展提出有效建议。</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20</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r>
              <w:rPr>
                <w:rFonts w:eastAsia="仿宋_GB2312"/>
                <w:color w:val="auto"/>
                <w:sz w:val="24"/>
                <w:highlight w:val="none"/>
              </w:rPr>
              <w:t>资料查阅</w:t>
            </w: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3" w:type="dxa"/>
            <w:vMerge w:val="continue"/>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1320" w:type="dxa"/>
            <w:vMerge w:val="continue"/>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c>
          <w:tcPr>
            <w:tcW w:w="4303" w:type="dxa"/>
            <w:noWrap w:val="0"/>
            <w:tcMar>
              <w:top w:w="100" w:type="dxa"/>
              <w:right w:w="100" w:type="dxa"/>
            </w:tcMar>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eastAsia="仿宋_GB2312"/>
                <w:color w:val="auto"/>
                <w:sz w:val="24"/>
                <w:highlight w:val="none"/>
              </w:rPr>
            </w:pPr>
            <w:r>
              <w:rPr>
                <w:rFonts w:eastAsia="仿宋_GB2312"/>
                <w:color w:val="auto"/>
                <w:sz w:val="24"/>
                <w:highlight w:val="none"/>
              </w:rPr>
              <w:t>被评估</w:t>
            </w:r>
            <w:r>
              <w:rPr>
                <w:rFonts w:hint="eastAsia" w:eastAsia="仿宋_GB2312"/>
                <w:color w:val="auto"/>
                <w:sz w:val="24"/>
                <w:highlight w:val="none"/>
                <w:lang w:val="en-US" w:eastAsia="zh-CN"/>
              </w:rPr>
              <w:t>巡查</w:t>
            </w:r>
            <w:r>
              <w:rPr>
                <w:rFonts w:eastAsia="仿宋_GB2312"/>
                <w:color w:val="auto"/>
                <w:sz w:val="24"/>
                <w:highlight w:val="none"/>
              </w:rPr>
              <w:t>方复核申请率低于</w:t>
            </w:r>
            <w:r>
              <w:rPr>
                <w:rFonts w:hint="eastAsia" w:eastAsia="仿宋_GB2312"/>
                <w:color w:val="auto"/>
                <w:sz w:val="24"/>
                <w:highlight w:val="none"/>
                <w:lang w:val="en-US" w:eastAsia="zh-CN"/>
              </w:rPr>
              <w:t>10</w:t>
            </w:r>
            <w:r>
              <w:rPr>
                <w:rFonts w:eastAsia="仿宋_GB2312"/>
                <w:color w:val="auto"/>
                <w:sz w:val="24"/>
                <w:highlight w:val="none"/>
              </w:rPr>
              <w:t>%。</w:t>
            </w:r>
          </w:p>
        </w:tc>
        <w:tc>
          <w:tcPr>
            <w:tcW w:w="930" w:type="dxa"/>
            <w:noWrap w:val="0"/>
            <w:tcMar>
              <w:top w:w="100" w:type="dxa"/>
              <w:right w:w="100" w:type="dxa"/>
            </w:tcMar>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r>
              <w:rPr>
                <w:rFonts w:eastAsia="仿宋_GB2312"/>
                <w:color w:val="auto"/>
                <w:sz w:val="24"/>
                <w:highlight w:val="none"/>
              </w:rPr>
              <w:t>10</w:t>
            </w:r>
          </w:p>
        </w:tc>
        <w:tc>
          <w:tcPr>
            <w:tcW w:w="870" w:type="dxa"/>
            <w:noWrap w:val="0"/>
            <w:vAlign w:val="center"/>
          </w:tcPr>
          <w:p>
            <w:pPr>
              <w:keepNext w:val="0"/>
              <w:keepLines w:val="0"/>
              <w:pageBreakBefore w:val="0"/>
              <w:kinsoku/>
              <w:wordWrap/>
              <w:overflowPunct/>
              <w:topLinePunct w:val="0"/>
              <w:bidi w:val="0"/>
              <w:spacing w:line="560" w:lineRule="exact"/>
              <w:textAlignment w:val="auto"/>
              <w:rPr>
                <w:rFonts w:eastAsia="仿宋_GB2312"/>
                <w:color w:val="auto"/>
                <w:sz w:val="24"/>
                <w:highlight w:val="none"/>
              </w:rPr>
            </w:pPr>
          </w:p>
        </w:tc>
        <w:tc>
          <w:tcPr>
            <w:tcW w:w="793" w:type="dxa"/>
            <w:noWrap w:val="0"/>
            <w:vAlign w:val="center"/>
          </w:tcPr>
          <w:p>
            <w:pPr>
              <w:keepNext w:val="0"/>
              <w:keepLines w:val="0"/>
              <w:pageBreakBefore w:val="0"/>
              <w:kinsoku/>
              <w:wordWrap/>
              <w:overflowPunct/>
              <w:topLinePunct w:val="0"/>
              <w:bidi w:val="0"/>
              <w:spacing w:line="560" w:lineRule="exact"/>
              <w:jc w:val="center"/>
              <w:textAlignment w:val="auto"/>
              <w:rPr>
                <w:rFonts w:eastAsia="仿宋_GB2312"/>
                <w:color w:val="auto"/>
                <w:sz w:val="24"/>
                <w:highlight w:val="none"/>
              </w:rPr>
            </w:pPr>
          </w:p>
        </w:tc>
      </w:tr>
    </w:tbl>
    <w:p>
      <w:pPr>
        <w:keepNext w:val="0"/>
        <w:keepLines w:val="0"/>
        <w:pageBreakBefore w:val="0"/>
        <w:kinsoku/>
        <w:wordWrap/>
        <w:overflowPunct/>
        <w:topLinePunct w:val="0"/>
        <w:bidi w:val="0"/>
        <w:spacing w:line="560" w:lineRule="exact"/>
        <w:ind w:firstLine="640" w:firstLineChars="200"/>
        <w:textAlignment w:val="auto"/>
        <w:rPr>
          <w:rFonts w:eastAsia="黑体"/>
          <w:color w:val="auto"/>
          <w:sz w:val="32"/>
          <w:szCs w:val="32"/>
          <w:highlight w:val="none"/>
        </w:rPr>
      </w:pPr>
      <w:r>
        <w:rPr>
          <w:rFonts w:eastAsia="黑体"/>
          <w:color w:val="auto"/>
          <w:sz w:val="32"/>
          <w:szCs w:val="32"/>
          <w:highlight w:val="none"/>
        </w:rPr>
        <w:t>七、付款方式</w:t>
      </w:r>
    </w:p>
    <w:p>
      <w:pPr>
        <w:pStyle w:val="10"/>
        <w:keepNext w:val="0"/>
        <w:keepLines w:val="0"/>
        <w:pageBreakBefore w:val="0"/>
        <w:kinsoku/>
        <w:wordWrap/>
        <w:overflowPunct/>
        <w:topLinePunct w:val="0"/>
        <w:bidi w:val="0"/>
        <w:spacing w:line="560" w:lineRule="exact"/>
        <w:ind w:firstLine="640"/>
        <w:textAlignment w:val="auto"/>
        <w:rPr>
          <w:rFonts w:hint="eastAsia" w:ascii="Times New Roman" w:hAnsi="Times New Roman" w:eastAsia="仿宋_GB2312" w:cs="Times New Roman"/>
          <w:color w:val="auto"/>
          <w:sz w:val="32"/>
          <w:highlight w:val="none"/>
          <w:lang w:eastAsia="zh-CN"/>
        </w:rPr>
      </w:pPr>
      <w:r>
        <w:rPr>
          <w:rFonts w:ascii="Times New Roman" w:hAnsi="Times New Roman" w:eastAsia="仿宋_GB2312"/>
          <w:color w:val="auto"/>
          <w:sz w:val="32"/>
          <w:highlight w:val="none"/>
        </w:rPr>
        <w:t>（一）本项目费用按合同约定方式分两次划拨。</w:t>
      </w:r>
      <w:r>
        <w:rPr>
          <w:rFonts w:hint="eastAsia" w:ascii="Times New Roman" w:hAnsi="Times New Roman" w:eastAsia="仿宋_GB2312"/>
          <w:color w:val="auto"/>
          <w:sz w:val="32"/>
          <w:highlight w:val="none"/>
          <w:lang w:val="en-US" w:eastAsia="zh-CN"/>
        </w:rPr>
        <w:t>承接项目机构完成居家社区养老服务</w:t>
      </w:r>
      <w:r>
        <w:rPr>
          <w:rFonts w:hint="eastAsia" w:ascii="Times New Roman" w:hAnsi="Times New Roman" w:eastAsia="仿宋_GB2312" w:cs="Times New Roman"/>
          <w:color w:val="auto"/>
          <w:sz w:val="32"/>
          <w:highlight w:val="none"/>
        </w:rPr>
        <w:t>评估并提供书面评估报告、合法等额有效发票等相关资料并经甲方</w:t>
      </w:r>
      <w:r>
        <w:rPr>
          <w:rFonts w:hint="eastAsia" w:ascii="Times New Roman" w:hAnsi="Times New Roman" w:eastAsia="仿宋_GB2312" w:cs="Times New Roman"/>
          <w:color w:val="auto"/>
          <w:sz w:val="32"/>
          <w:highlight w:val="none"/>
          <w:lang w:val="en-US" w:eastAsia="zh-CN"/>
        </w:rPr>
        <w:t>验收</w:t>
      </w:r>
      <w:r>
        <w:rPr>
          <w:rFonts w:hint="eastAsia" w:ascii="Times New Roman" w:hAnsi="Times New Roman" w:eastAsia="仿宋_GB2312" w:cs="Times New Roman"/>
          <w:color w:val="auto"/>
          <w:sz w:val="32"/>
          <w:highlight w:val="none"/>
        </w:rPr>
        <w:t>通过后</w:t>
      </w:r>
      <w:r>
        <w:rPr>
          <w:rFonts w:hint="eastAsia" w:ascii="Times New Roman" w:hAnsi="Times New Roman" w:eastAsia="仿宋_GB2312" w:cs="Times New Roman"/>
          <w:color w:val="auto"/>
          <w:sz w:val="32"/>
          <w:highlight w:val="none"/>
          <w:lang w:val="en-US" w:eastAsia="zh-CN"/>
        </w:rPr>
        <w:t>拨付约合同金额的83%，即15万元</w:t>
      </w:r>
      <w:r>
        <w:rPr>
          <w:rFonts w:hint="eastAsia" w:ascii="Times New Roman" w:hAnsi="Times New Roman" w:eastAsia="仿宋_GB2312" w:cs="Times New Roman"/>
          <w:color w:val="auto"/>
          <w:sz w:val="32"/>
          <w:highlight w:val="none"/>
          <w:lang w:eastAsia="zh-CN"/>
        </w:rPr>
        <w:t>。</w:t>
      </w:r>
    </w:p>
    <w:p>
      <w:pPr>
        <w:pStyle w:val="10"/>
        <w:keepNext w:val="0"/>
        <w:keepLines w:val="0"/>
        <w:pageBreakBefore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s="Times New Roman"/>
          <w:color w:val="auto"/>
          <w:sz w:val="32"/>
          <w:highlight w:val="none"/>
          <w:lang w:val="en-US" w:eastAsia="zh-CN"/>
        </w:rPr>
      </w:pPr>
      <w:r>
        <w:rPr>
          <w:rFonts w:ascii="Times New Roman" w:hAnsi="Times New Roman" w:eastAsia="仿宋_GB2312" w:cs="Times New Roman"/>
          <w:color w:val="auto"/>
          <w:sz w:val="32"/>
          <w:highlight w:val="none"/>
        </w:rPr>
        <w:t>合同期结束</w:t>
      </w:r>
      <w:r>
        <w:rPr>
          <w:rFonts w:hint="eastAsia" w:ascii="Times New Roman" w:hAnsi="Times New Roman" w:eastAsia="仿宋_GB2312" w:cs="Times New Roman"/>
          <w:color w:val="auto"/>
          <w:sz w:val="32"/>
          <w:highlight w:val="none"/>
          <w:lang w:val="en-US" w:eastAsia="zh-CN"/>
        </w:rPr>
        <w:t>后</w:t>
      </w:r>
      <w:r>
        <w:rPr>
          <w:rFonts w:ascii="Times New Roman" w:hAnsi="Times New Roman" w:eastAsia="仿宋_GB2312" w:cs="Times New Roman"/>
          <w:color w:val="auto"/>
          <w:sz w:val="32"/>
          <w:highlight w:val="none"/>
        </w:rPr>
        <w:t>，</w:t>
      </w:r>
      <w:r>
        <w:rPr>
          <w:rFonts w:hint="eastAsia" w:ascii="Times New Roman" w:hAnsi="Times New Roman" w:eastAsia="仿宋_GB2312"/>
          <w:color w:val="auto"/>
          <w:sz w:val="32"/>
          <w:highlight w:val="none"/>
          <w:lang w:val="en-US" w:eastAsia="zh-CN"/>
        </w:rPr>
        <w:t>承接项目机构</w:t>
      </w:r>
      <w:r>
        <w:rPr>
          <w:rFonts w:hint="eastAsia" w:ascii="Times New Roman" w:hAnsi="Times New Roman" w:eastAsia="仿宋_GB2312" w:cs="Times New Roman"/>
          <w:color w:val="auto"/>
          <w:sz w:val="32"/>
          <w:highlight w:val="none"/>
          <w:lang w:val="en-US" w:eastAsia="zh-CN"/>
        </w:rPr>
        <w:t>完成居家社区养老服务巡查项目</w:t>
      </w:r>
      <w:r>
        <w:rPr>
          <w:rFonts w:ascii="Times New Roman" w:hAnsi="Times New Roman" w:eastAsia="仿宋_GB2312" w:cs="Times New Roman"/>
          <w:color w:val="auto"/>
          <w:sz w:val="32"/>
          <w:highlight w:val="none"/>
        </w:rPr>
        <w:t>全部工作任务，并提供</w:t>
      </w:r>
      <w:r>
        <w:rPr>
          <w:rFonts w:hint="eastAsia" w:ascii="Times New Roman" w:hAnsi="Times New Roman" w:eastAsia="仿宋_GB2312" w:cs="Times New Roman"/>
          <w:color w:val="auto"/>
          <w:sz w:val="32"/>
          <w:highlight w:val="none"/>
          <w:lang w:val="en-US" w:eastAsia="zh-CN"/>
        </w:rPr>
        <w:t>巡查</w:t>
      </w:r>
      <w:r>
        <w:rPr>
          <w:rFonts w:ascii="Times New Roman" w:hAnsi="Times New Roman" w:eastAsia="仿宋_GB2312" w:cs="Times New Roman"/>
          <w:color w:val="auto"/>
          <w:sz w:val="32"/>
          <w:highlight w:val="none"/>
        </w:rPr>
        <w:t>工作整体情况报告等所有相关材料，区民政局进行验收合格后支付尾款。</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val="en-US" w:eastAsia="zh-CN"/>
        </w:rPr>
        <w:t>（二）</w:t>
      </w:r>
      <w:r>
        <w:rPr>
          <w:rFonts w:ascii="Times New Roman" w:hAnsi="Times New Roman" w:eastAsia="仿宋_GB2312"/>
          <w:color w:val="auto"/>
          <w:sz w:val="32"/>
          <w:highlight w:val="none"/>
        </w:rPr>
        <w:t>承接</w:t>
      </w:r>
      <w:r>
        <w:rPr>
          <w:rFonts w:hint="eastAsia" w:ascii="Times New Roman" w:hAnsi="Times New Roman" w:eastAsia="仿宋_GB2312"/>
          <w:color w:val="auto"/>
          <w:sz w:val="32"/>
          <w:highlight w:val="none"/>
          <w:lang w:val="en-US" w:eastAsia="zh-CN"/>
        </w:rPr>
        <w:t>项目</w:t>
      </w:r>
      <w:r>
        <w:rPr>
          <w:rFonts w:ascii="Times New Roman" w:hAnsi="Times New Roman" w:eastAsia="仿宋_GB2312"/>
          <w:color w:val="auto"/>
          <w:sz w:val="32"/>
          <w:highlight w:val="none"/>
        </w:rPr>
        <w:t>单位凭本项目合同、正式发票等所有相关材料与</w:t>
      </w:r>
      <w:r>
        <w:rPr>
          <w:rFonts w:hint="eastAsia" w:ascii="Times New Roman" w:hAnsi="Times New Roman" w:eastAsia="仿宋_GB2312"/>
          <w:color w:val="auto"/>
          <w:sz w:val="32"/>
          <w:highlight w:val="none"/>
          <w:lang w:val="en-US" w:eastAsia="zh-CN"/>
        </w:rPr>
        <w:t>花都</w:t>
      </w:r>
      <w:r>
        <w:rPr>
          <w:rFonts w:ascii="Times New Roman" w:hAnsi="Times New Roman" w:eastAsia="仿宋_GB2312"/>
          <w:color w:val="auto"/>
          <w:sz w:val="32"/>
          <w:highlight w:val="none"/>
        </w:rPr>
        <w:t>区民政局结算，材料中收款方、出具发票方、合同乙方均必须与承接</w:t>
      </w:r>
      <w:r>
        <w:rPr>
          <w:rFonts w:hint="eastAsia" w:ascii="Times New Roman" w:hAnsi="Times New Roman" w:eastAsia="仿宋_GB2312"/>
          <w:color w:val="auto"/>
          <w:sz w:val="32"/>
          <w:highlight w:val="none"/>
          <w:lang w:val="en-US" w:eastAsia="zh-CN"/>
        </w:rPr>
        <w:t>项目</w:t>
      </w:r>
      <w:r>
        <w:rPr>
          <w:rFonts w:ascii="Times New Roman" w:hAnsi="Times New Roman" w:eastAsia="仿宋_GB2312"/>
          <w:color w:val="auto"/>
          <w:sz w:val="32"/>
          <w:highlight w:val="none"/>
        </w:rPr>
        <w:t>单位名称一致。</w:t>
      </w:r>
    </w:p>
    <w:p>
      <w:pPr>
        <w:pStyle w:val="10"/>
        <w:keepNext w:val="0"/>
        <w:keepLines w:val="0"/>
        <w:pageBreakBefore w:val="0"/>
        <w:kinsoku/>
        <w:wordWrap/>
        <w:overflowPunct/>
        <w:topLinePunct w:val="0"/>
        <w:bidi w:val="0"/>
        <w:spacing w:line="560" w:lineRule="exact"/>
        <w:ind w:firstLine="640"/>
        <w:textAlignment w:val="auto"/>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三）</w:t>
      </w:r>
      <w:r>
        <w:rPr>
          <w:rFonts w:ascii="Times New Roman" w:hAnsi="Times New Roman" w:eastAsia="仿宋_GB2312"/>
          <w:color w:val="auto"/>
          <w:sz w:val="32"/>
          <w:highlight w:val="none"/>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10"/>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color w:val="auto"/>
          <w:sz w:val="32"/>
          <w:highlight w:val="none"/>
          <w:lang w:val="en-US" w:eastAsia="zh-CN"/>
        </w:rPr>
      </w:pPr>
      <w:r>
        <w:rPr>
          <w:rFonts w:hint="eastAsia" w:ascii="黑体" w:hAnsi="黑体" w:eastAsia="黑体" w:cs="黑体"/>
          <w:color w:val="auto"/>
          <w:sz w:val="32"/>
          <w:highlight w:val="none"/>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olor w:val="auto"/>
          <w:sz w:val="32"/>
          <w:highlight w:val="none"/>
          <w:lang w:val="en-US" w:eastAsia="zh-CN"/>
        </w:rPr>
      </w:pPr>
      <w:r>
        <w:rPr>
          <w:rFonts w:hint="eastAsia" w:ascii="Times New Roman" w:hAnsi="Times New Roman" w:eastAsia="仿宋_GB2312"/>
          <w:color w:val="auto"/>
          <w:sz w:val="32"/>
          <w:highlight w:val="none"/>
          <w:lang w:val="en-US" w:eastAsia="zh-CN"/>
        </w:rPr>
        <w:t>已承接本区行政区域内的政府购买社区居家养老服务项目的机构，不得同时承接本区行政区域内的社区居家养老服务评估项目。</w:t>
      </w:r>
      <w:r>
        <w:rPr>
          <w:rFonts w:hint="eastAsia" w:eastAsia="仿宋_GB2312" w:cs="Times New Roman"/>
          <w:color w:val="auto"/>
          <w:sz w:val="32"/>
          <w:highlight w:val="none"/>
          <w:lang w:val="en-US" w:eastAsia="zh-CN"/>
        </w:rPr>
        <w:t>如上级业务部门对评估和巡查内容等进行调整，则按最新政策要求执行。</w:t>
      </w:r>
    </w:p>
    <w:sectPr>
      <w:headerReference r:id="rId3" w:type="default"/>
      <w:footerReference r:id="rId4" w:type="default"/>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OGViZGEzMDUxMWY4MmE4MTk2YWZiNzU5MDU5NzYifQ=="/>
  </w:docVars>
  <w:rsids>
    <w:rsidRoot w:val="00000000"/>
    <w:rsid w:val="01AB6092"/>
    <w:rsid w:val="021A34A0"/>
    <w:rsid w:val="06FA3BF5"/>
    <w:rsid w:val="078721B0"/>
    <w:rsid w:val="0A144875"/>
    <w:rsid w:val="0BDE10C6"/>
    <w:rsid w:val="0D030B9B"/>
    <w:rsid w:val="0E37303A"/>
    <w:rsid w:val="11A623B2"/>
    <w:rsid w:val="1372502D"/>
    <w:rsid w:val="13980CCC"/>
    <w:rsid w:val="1BF87B14"/>
    <w:rsid w:val="1C805B5D"/>
    <w:rsid w:val="1CA24468"/>
    <w:rsid w:val="1F6401CE"/>
    <w:rsid w:val="20300BAB"/>
    <w:rsid w:val="20A247EF"/>
    <w:rsid w:val="20EE2D6B"/>
    <w:rsid w:val="23661B16"/>
    <w:rsid w:val="23683930"/>
    <w:rsid w:val="237B7D77"/>
    <w:rsid w:val="24755138"/>
    <w:rsid w:val="256702A0"/>
    <w:rsid w:val="25E35C0C"/>
    <w:rsid w:val="27347145"/>
    <w:rsid w:val="273E4665"/>
    <w:rsid w:val="29783717"/>
    <w:rsid w:val="2AF76692"/>
    <w:rsid w:val="2B4372A9"/>
    <w:rsid w:val="2B6E5B3C"/>
    <w:rsid w:val="2D2222DE"/>
    <w:rsid w:val="2F6835E0"/>
    <w:rsid w:val="319B4A12"/>
    <w:rsid w:val="31ED1AA5"/>
    <w:rsid w:val="32A26657"/>
    <w:rsid w:val="348A51EF"/>
    <w:rsid w:val="34E830BF"/>
    <w:rsid w:val="352B0884"/>
    <w:rsid w:val="36BA4D5C"/>
    <w:rsid w:val="3D8D030D"/>
    <w:rsid w:val="3DF247D2"/>
    <w:rsid w:val="3DFF7DA3"/>
    <w:rsid w:val="3F366D84"/>
    <w:rsid w:val="407571AB"/>
    <w:rsid w:val="442C1FAF"/>
    <w:rsid w:val="45B45924"/>
    <w:rsid w:val="468923BB"/>
    <w:rsid w:val="483D7703"/>
    <w:rsid w:val="4B314C03"/>
    <w:rsid w:val="4B5457FE"/>
    <w:rsid w:val="505B2A22"/>
    <w:rsid w:val="55BD5E45"/>
    <w:rsid w:val="5688034E"/>
    <w:rsid w:val="5769527A"/>
    <w:rsid w:val="58BE41F9"/>
    <w:rsid w:val="595F2181"/>
    <w:rsid w:val="5D996A6F"/>
    <w:rsid w:val="5EB73272"/>
    <w:rsid w:val="61F80909"/>
    <w:rsid w:val="62BD037E"/>
    <w:rsid w:val="633D15DA"/>
    <w:rsid w:val="6344672F"/>
    <w:rsid w:val="670F738F"/>
    <w:rsid w:val="70DE3F36"/>
    <w:rsid w:val="71BB3F79"/>
    <w:rsid w:val="72361D52"/>
    <w:rsid w:val="725C403A"/>
    <w:rsid w:val="73DA4EAA"/>
    <w:rsid w:val="746002B8"/>
    <w:rsid w:val="74BB2021"/>
    <w:rsid w:val="75DD180C"/>
    <w:rsid w:val="76296F93"/>
    <w:rsid w:val="77F242B3"/>
    <w:rsid w:val="78E05D72"/>
    <w:rsid w:val="7D6C0A57"/>
    <w:rsid w:val="7D8E5FD0"/>
    <w:rsid w:val="7DC16A16"/>
    <w:rsid w:val="7F00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eastAsia="宋体" w:cs="Times New Roman"/>
      <w:sz w:val="32"/>
      <w:szCs w:val="24"/>
    </w:rPr>
  </w:style>
  <w:style w:type="paragraph" w:styleId="3">
    <w:name w:val="Body Text Indent"/>
    <w:basedOn w:val="1"/>
    <w:qFormat/>
    <w:uiPriority w:val="0"/>
    <w:pPr>
      <w:ind w:firstLine="570"/>
    </w:pPr>
    <w:rPr>
      <w:rFonts w:ascii="宋体" w:hAnsi="宋体"/>
      <w:sz w:val="28"/>
      <w:szCs w:val="20"/>
    </w:rPr>
  </w:style>
  <w:style w:type="paragraph" w:styleId="4">
    <w:name w:val="Body Text"/>
    <w:basedOn w:val="1"/>
    <w:qFormat/>
    <w:uiPriority w:val="1"/>
    <w:rPr>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一级条标题"/>
    <w:basedOn w:val="1"/>
    <w:next w:val="10"/>
    <w:qFormat/>
    <w:uiPriority w:val="0"/>
    <w:pPr>
      <w:widowControl/>
      <w:tabs>
        <w:tab w:val="left" w:pos="992"/>
      </w:tabs>
      <w:spacing w:beforeLines="50" w:afterLines="50"/>
      <w:jc w:val="left"/>
      <w:outlineLvl w:val="2"/>
    </w:pPr>
    <w:rPr>
      <w:rFonts w:hint="eastAsia" w:ascii="黑体" w:eastAsia="黑体"/>
      <w:kern w:val="0"/>
      <w:szCs w:val="21"/>
    </w:rPr>
  </w:style>
  <w:style w:type="paragraph" w:customStyle="1" w:styleId="10">
    <w:name w:val="段"/>
    <w:basedOn w:val="1"/>
    <w:qFormat/>
    <w:uiPriority w:val="0"/>
    <w:pPr>
      <w:widowControl/>
      <w:tabs>
        <w:tab w:val="center" w:pos="4201"/>
        <w:tab w:val="right" w:leader="dot" w:pos="9298"/>
      </w:tabs>
      <w:autoSpaceDE w:val="0"/>
      <w:autoSpaceDN w:val="0"/>
      <w:ind w:firstLine="420" w:firstLineChars="200"/>
    </w:pPr>
    <w:rPr>
      <w:rFonts w:ascii="宋体" w:hAnsi="宋体"/>
      <w:kern w:val="24"/>
      <w:sz w:val="20"/>
      <w:szCs w:val="32"/>
    </w:rPr>
  </w:style>
  <w:style w:type="paragraph" w:customStyle="1" w:styleId="11">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12">
    <w:name w:val="列出段落1"/>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5997</Words>
  <Characters>6115</Characters>
  <Lines>0</Lines>
  <Paragraphs>0</Paragraphs>
  <TotalTime>4</TotalTime>
  <ScaleCrop>false</ScaleCrop>
  <LinksUpToDate>false</LinksUpToDate>
  <CharactersWithSpaces>6116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2021-07-23T02:17:00Z</dcterms:created>
  <dc:creator>admini</dc:creator>
  <cp:lastModifiedBy>admini</cp:lastModifiedBy>
  <cp:lastPrinted>2021-08-16T02:58:00Z</cp:lastPrinted>
  <dcterms:modified xsi:type="dcterms:W3CDTF">2024-01-16T08:28:36Z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7EDB4F05E7F5493BBDAEF86AA2195045</vt:lpwstr>
  </property>
</Properties>
</file>