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val="0"/>
          <w:bCs w:val="0"/>
          <w:i w:val="0"/>
          <w:caps w:val="0"/>
          <w:color w:val="404040"/>
          <w:spacing w:val="0"/>
          <w:kern w:val="0"/>
          <w:sz w:val="32"/>
          <w:szCs w:val="32"/>
          <w:shd w:val="clear" w:fill="FFFFFF"/>
          <w:lang w:val="en-US" w:eastAsia="zh-CN" w:bidi="ar"/>
        </w:rPr>
      </w:pPr>
      <w:bookmarkStart w:id="0" w:name="_Hlk528933888"/>
      <w:r>
        <w:rPr>
          <w:rFonts w:hint="eastAsia" w:ascii="仿宋" w:hAnsi="仿宋" w:eastAsia="仿宋" w:cs="仿宋"/>
          <w:b w:val="0"/>
          <w:bCs w:val="0"/>
          <w:i w:val="0"/>
          <w:caps w:val="0"/>
          <w:color w:val="404040"/>
          <w:spacing w:val="0"/>
          <w:kern w:val="0"/>
          <w:sz w:val="32"/>
          <w:szCs w:val="32"/>
          <w:shd w:val="clear" w:fill="FFFFFF"/>
          <w:lang w:val="en-US" w:eastAsia="zh-CN" w:bidi="ar"/>
        </w:rPr>
        <w:t>附件2：</w:t>
      </w:r>
    </w:p>
    <w:p>
      <w:pPr>
        <w:jc w:val="center"/>
        <w:rPr>
          <w:rFonts w:hint="eastAsia" w:ascii="仿宋" w:hAnsi="仿宋" w:eastAsia="仿宋" w:cs="仿宋"/>
          <w:b/>
          <w:bCs/>
          <w:i w:val="0"/>
          <w:caps w:val="0"/>
          <w:color w:val="404040"/>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i w:val="0"/>
          <w:caps w:val="0"/>
          <w:color w:val="000000" w:themeColor="text1"/>
          <w:spacing w:val="0"/>
          <w:kern w:val="0"/>
          <w:sz w:val="44"/>
          <w:szCs w:val="44"/>
          <w:shd w:val="clear"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shd w:val="clear" w:fill="FFFFFF"/>
          <w:lang w:val="en-US" w:eastAsia="zh-CN" w:bidi="ar"/>
          <w14:textFill>
            <w14:solidFill>
              <w14:schemeClr w14:val="tx1"/>
            </w14:solidFill>
          </w14:textFill>
        </w:rPr>
        <w:t>广州市花都区农业农村局聘请第三方开展兽医实验室及兽医实验室仪器设备维护服务项目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shd w:val="clear" w:fill="FFFFFF"/>
          <w:lang w:val="en-US" w:eastAsia="zh-CN" w:bidi="ar"/>
          <w14:textFill>
            <w14:solidFill>
              <w14:schemeClr w14:val="tx1"/>
            </w14:solidFill>
          </w14:textFill>
        </w:rPr>
        <w:t>评分方案</w:t>
      </w:r>
    </w:p>
    <w:p>
      <w:pPr>
        <w:keepNext w:val="0"/>
        <w:keepLines w:val="0"/>
        <w:pageBreakBefore w:val="0"/>
        <w:widowControl w:val="0"/>
        <w:kinsoku/>
        <w:wordWrap/>
        <w:overflowPunct/>
        <w:topLinePunct w:val="0"/>
        <w:autoSpaceDE/>
        <w:autoSpaceDN/>
        <w:bidi w:val="0"/>
        <w:spacing w:line="640" w:lineRule="exact"/>
        <w:ind w:firstLine="643" w:firstLineChars="200"/>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b/>
          <w:bCs/>
          <w:sz w:val="32"/>
          <w:szCs w:val="32"/>
        </w:rPr>
      </w:pPr>
      <w:r>
        <w:rPr>
          <w:rFonts w:hint="eastAsia" w:ascii="黑体" w:hAnsi="黑体" w:eastAsia="黑体" w:cs="黑体"/>
          <w:b w:val="0"/>
          <w:bCs w:val="0"/>
          <w:sz w:val="32"/>
          <w:szCs w:val="32"/>
        </w:rPr>
        <w:t>一、评标小组</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由区动物卫生监督所及区农业农村局畜牧兽医屠宰管理科相关人员组成询价评审委员会成员，局机关纪委派员担任项目监督员。</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both"/>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32"/>
          <w:szCs w:val="32"/>
        </w:rPr>
        <w:t>二、评审方式</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召开现场评审会，对投标人的</w:t>
      </w:r>
      <w:r>
        <w:rPr>
          <w:rFonts w:hint="eastAsia" w:ascii="仿宋" w:hAnsi="仿宋" w:eastAsia="仿宋" w:cs="仿宋"/>
          <w:sz w:val="32"/>
          <w:szCs w:val="32"/>
          <w:lang w:val="en-US" w:eastAsia="zh-CN"/>
        </w:rPr>
        <w:t>报价材料</w:t>
      </w:r>
      <w:r>
        <w:rPr>
          <w:rFonts w:hint="eastAsia" w:ascii="仿宋" w:hAnsi="仿宋" w:eastAsia="仿宋" w:cs="仿宋"/>
          <w:sz w:val="32"/>
          <w:szCs w:val="32"/>
        </w:rPr>
        <w:t>进行现场</w:t>
      </w:r>
      <w:r>
        <w:rPr>
          <w:rFonts w:hint="eastAsia" w:ascii="仿宋" w:hAnsi="仿宋" w:eastAsia="仿宋" w:cs="仿宋"/>
          <w:sz w:val="32"/>
          <w:szCs w:val="32"/>
          <w:lang w:val="en-US" w:eastAsia="zh-CN"/>
        </w:rPr>
        <w:t>拆封</w:t>
      </w:r>
      <w:r>
        <w:rPr>
          <w:rFonts w:hint="eastAsia" w:ascii="仿宋" w:hAnsi="仿宋" w:eastAsia="仿宋" w:cs="仿宋"/>
          <w:sz w:val="32"/>
          <w:szCs w:val="32"/>
        </w:rPr>
        <w:t>、评审，确定中标单位。</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rPr>
        <w:t>三、评审项目及控制价</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评审项目：2024年兽医实验室及兽医实验室仪器设备维护服务项目</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（二）项目服务期限：委</w:t>
      </w:r>
      <w:r>
        <w:rPr>
          <w:rFonts w:hint="eastAsia" w:ascii="仿宋" w:hAnsi="仿宋" w:eastAsia="仿宋" w:cs="仿宋"/>
          <w:color w:val="000000" w:themeColor="text1"/>
          <w:sz w:val="32"/>
          <w:szCs w:val="32"/>
          <w:lang w:val="en-US" w:eastAsia="zh-CN"/>
          <w14:textFill>
            <w14:solidFill>
              <w14:schemeClr w14:val="tx1"/>
            </w14:solidFill>
          </w14:textFill>
        </w:rPr>
        <w:t>托服务时间自2024年8月15日至2025年8月14</w:t>
      </w:r>
      <w:bookmarkStart w:id="2" w:name="_GoBack"/>
      <w:bookmarkEnd w:id="2"/>
      <w:r>
        <w:rPr>
          <w:rFonts w:hint="eastAsia" w:ascii="仿宋" w:hAnsi="仿宋" w:eastAsia="仿宋" w:cs="仿宋"/>
          <w:color w:val="000000" w:themeColor="text1"/>
          <w:sz w:val="32"/>
          <w:szCs w:val="32"/>
          <w:lang w:val="en-US" w:eastAsia="zh-CN"/>
          <w14:textFill>
            <w14:solidFill>
              <w14:schemeClr w14:val="tx1"/>
            </w14:solidFill>
          </w14:textFill>
        </w:rPr>
        <w:t>日止。</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控制价</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不超过人民币6.5</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rPr>
        <w:t>四、评审</w:t>
      </w:r>
      <w:r>
        <w:rPr>
          <w:rFonts w:hint="eastAsia" w:ascii="黑体" w:hAnsi="黑体" w:eastAsia="黑体" w:cs="黑体"/>
          <w:b w:val="0"/>
          <w:bCs w:val="0"/>
          <w:sz w:val="32"/>
          <w:szCs w:val="32"/>
          <w:lang w:val="en-US" w:eastAsia="zh-CN"/>
        </w:rPr>
        <w:t>原则</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在询价评审中，评委对投标人进行符合性审查，同等条件下，选取报价最低的投标人。</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、评审流程及标准</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（一）初步评审</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对</w:t>
      </w:r>
      <w:r>
        <w:rPr>
          <w:rFonts w:hint="eastAsia" w:ascii="仿宋" w:hAnsi="仿宋" w:eastAsia="仿宋" w:cs="仿宋"/>
          <w:sz w:val="32"/>
          <w:szCs w:val="32"/>
          <w:lang w:val="en-US" w:eastAsia="zh-CN"/>
        </w:rPr>
        <w:t>投标人</w:t>
      </w:r>
      <w:r>
        <w:rPr>
          <w:rFonts w:hint="eastAsia" w:ascii="仿宋" w:hAnsi="仿宋" w:eastAsia="仿宋" w:cs="仿宋"/>
          <w:sz w:val="32"/>
          <w:szCs w:val="32"/>
        </w:rPr>
        <w:t>符合性进行评审（见表1）</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spacing w:line="640" w:lineRule="exact"/>
        <w:ind w:firstLine="640" w:firstLineChars="200"/>
        <w:textAlignment w:val="auto"/>
        <w:outlineLvl w:val="9"/>
        <w:rPr>
          <w:rFonts w:hint="eastAsia" w:ascii="仿宋" w:hAnsi="仿宋" w:eastAsia="仿宋" w:cs="仿宋"/>
        </w:rPr>
      </w:pPr>
      <w:r>
        <w:rPr>
          <w:rFonts w:hint="eastAsia" w:ascii="仿宋" w:hAnsi="仿宋" w:eastAsia="仿宋" w:cs="仿宋"/>
          <w:sz w:val="32"/>
          <w:szCs w:val="32"/>
        </w:rPr>
        <w:t>表1：符合性评审表</w:t>
      </w:r>
    </w:p>
    <w:tbl>
      <w:tblPr>
        <w:tblStyle w:val="7"/>
        <w:tblW w:w="8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59"/>
        <w:gridCol w:w="5878"/>
        <w:gridCol w:w="750"/>
        <w:gridCol w:w="70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55" w:hRule="atLeast"/>
        </w:trPr>
        <w:tc>
          <w:tcPr>
            <w:tcW w:w="659" w:type="dxa"/>
            <w:vMerge w:val="restart"/>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序号</w:t>
            </w:r>
          </w:p>
        </w:tc>
        <w:tc>
          <w:tcPr>
            <w:tcW w:w="5878" w:type="dxa"/>
            <w:vMerge w:val="restart"/>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资格审查内容</w:t>
            </w:r>
          </w:p>
        </w:tc>
        <w:tc>
          <w:tcPr>
            <w:tcW w:w="2295" w:type="dxa"/>
            <w:gridSpan w:val="3"/>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90" w:hRule="atLeast"/>
        </w:trPr>
        <w:tc>
          <w:tcPr>
            <w:tcW w:w="659" w:type="dxa"/>
            <w:vMerge w:val="continue"/>
            <w:shd w:val="clear" w:color="auto" w:fill="auto"/>
            <w:vAlign w:val="center"/>
          </w:tcPr>
          <w:p>
            <w:pPr>
              <w:spacing w:line="360" w:lineRule="auto"/>
              <w:jc w:val="center"/>
              <w:rPr>
                <w:rFonts w:hint="eastAsia" w:ascii="仿宋" w:hAnsi="仿宋" w:eastAsia="仿宋" w:cs="仿宋"/>
                <w:b/>
                <w:bCs/>
                <w:i w:val="0"/>
                <w:color w:val="000000"/>
                <w:sz w:val="24"/>
                <w:szCs w:val="24"/>
                <w:u w:val="none"/>
              </w:rPr>
            </w:pPr>
          </w:p>
        </w:tc>
        <w:tc>
          <w:tcPr>
            <w:tcW w:w="5878" w:type="dxa"/>
            <w:vMerge w:val="continue"/>
            <w:shd w:val="clear" w:color="auto" w:fill="auto"/>
            <w:vAlign w:val="center"/>
          </w:tcPr>
          <w:p>
            <w:pPr>
              <w:spacing w:line="360" w:lineRule="auto"/>
              <w:jc w:val="center"/>
              <w:rPr>
                <w:rFonts w:hint="eastAsia" w:ascii="仿宋" w:hAnsi="仿宋" w:eastAsia="仿宋" w:cs="仿宋"/>
                <w:b/>
                <w:bCs/>
                <w:i w:val="0"/>
                <w:color w:val="000000"/>
                <w:sz w:val="24"/>
                <w:szCs w:val="24"/>
                <w:u w:val="none"/>
              </w:rPr>
            </w:pPr>
          </w:p>
        </w:tc>
        <w:tc>
          <w:tcPr>
            <w:tcW w:w="750" w:type="dxa"/>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A公司</w:t>
            </w:r>
          </w:p>
        </w:tc>
        <w:tc>
          <w:tcPr>
            <w:tcW w:w="705" w:type="dxa"/>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B公司</w:t>
            </w:r>
          </w:p>
        </w:tc>
        <w:tc>
          <w:tcPr>
            <w:tcW w:w="840" w:type="dxa"/>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D公司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80" w:hRule="atLeast"/>
        </w:trPr>
        <w:tc>
          <w:tcPr>
            <w:tcW w:w="659" w:type="dxa"/>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5878" w:type="dxa"/>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营业执照（或事业单位法人证书，或社会团体法人登记证书，或执业许可证）、组织机构代码证和税务登记证（或三证合一证明）复印件。</w:t>
            </w:r>
          </w:p>
        </w:tc>
        <w:tc>
          <w:tcPr>
            <w:tcW w:w="750" w:type="dxa"/>
            <w:shd w:val="clear" w:color="auto" w:fill="auto"/>
            <w:vAlign w:val="center"/>
          </w:tcPr>
          <w:p>
            <w:pPr>
              <w:spacing w:line="360" w:lineRule="auto"/>
              <w:jc w:val="both"/>
              <w:rPr>
                <w:rFonts w:hint="eastAsia" w:ascii="仿宋" w:hAnsi="仿宋" w:eastAsia="仿宋" w:cs="仿宋"/>
                <w:i w:val="0"/>
                <w:color w:val="000000"/>
                <w:sz w:val="24"/>
                <w:szCs w:val="24"/>
                <w:u w:val="none"/>
              </w:rPr>
            </w:pPr>
          </w:p>
        </w:tc>
        <w:tc>
          <w:tcPr>
            <w:tcW w:w="705" w:type="dxa"/>
            <w:shd w:val="clear" w:color="auto" w:fill="auto"/>
            <w:vAlign w:val="center"/>
          </w:tcPr>
          <w:p>
            <w:pPr>
              <w:spacing w:line="360" w:lineRule="auto"/>
              <w:jc w:val="both"/>
              <w:rPr>
                <w:rFonts w:hint="eastAsia" w:ascii="仿宋" w:hAnsi="仿宋" w:eastAsia="仿宋" w:cs="仿宋"/>
                <w:i w:val="0"/>
                <w:color w:val="000000"/>
                <w:sz w:val="24"/>
                <w:szCs w:val="24"/>
                <w:u w:val="none"/>
              </w:rPr>
            </w:pPr>
          </w:p>
        </w:tc>
        <w:tc>
          <w:tcPr>
            <w:tcW w:w="840" w:type="dxa"/>
            <w:shd w:val="clear" w:color="auto" w:fill="auto"/>
            <w:vAlign w:val="center"/>
          </w:tcPr>
          <w:p>
            <w:pPr>
              <w:spacing w:line="360" w:lineRule="auto"/>
              <w:jc w:val="both"/>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90" w:hRule="atLeast"/>
        </w:trPr>
        <w:tc>
          <w:tcPr>
            <w:tcW w:w="659" w:type="dxa"/>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w:t>
            </w:r>
          </w:p>
        </w:tc>
        <w:tc>
          <w:tcPr>
            <w:tcW w:w="5878" w:type="dxa"/>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color w:val="auto"/>
                <w:sz w:val="24"/>
                <w:szCs w:val="24"/>
                <w:u w:val="none"/>
              </w:rPr>
            </w:pPr>
            <w:r>
              <w:rPr>
                <w:rFonts w:hint="eastAsia" w:ascii="仿宋" w:hAnsi="仿宋" w:eastAsia="仿宋" w:cs="仿宋"/>
                <w:color w:val="auto"/>
                <w:sz w:val="24"/>
                <w:szCs w:val="24"/>
                <w:lang w:val="en-US" w:eastAsia="zh-CN"/>
              </w:rPr>
              <w:t>服务方有履行合同所必需的设备和专业技术能力（提供设备清单及专业技术人员情况清单并盖章）</w:t>
            </w:r>
          </w:p>
        </w:tc>
        <w:tc>
          <w:tcPr>
            <w:tcW w:w="750" w:type="dxa"/>
            <w:shd w:val="clear" w:color="auto" w:fill="auto"/>
            <w:vAlign w:val="center"/>
          </w:tcPr>
          <w:p>
            <w:pPr>
              <w:spacing w:line="360" w:lineRule="auto"/>
              <w:jc w:val="both"/>
              <w:rPr>
                <w:rFonts w:hint="eastAsia" w:ascii="仿宋" w:hAnsi="仿宋" w:eastAsia="仿宋" w:cs="仿宋"/>
                <w:i w:val="0"/>
                <w:color w:val="000000"/>
                <w:sz w:val="24"/>
                <w:szCs w:val="24"/>
                <w:u w:val="none"/>
              </w:rPr>
            </w:pPr>
          </w:p>
        </w:tc>
        <w:tc>
          <w:tcPr>
            <w:tcW w:w="705" w:type="dxa"/>
            <w:shd w:val="clear" w:color="auto" w:fill="auto"/>
            <w:vAlign w:val="center"/>
          </w:tcPr>
          <w:p>
            <w:pPr>
              <w:spacing w:line="360" w:lineRule="auto"/>
              <w:jc w:val="both"/>
              <w:rPr>
                <w:rFonts w:hint="eastAsia" w:ascii="仿宋" w:hAnsi="仿宋" w:eastAsia="仿宋" w:cs="仿宋"/>
                <w:i w:val="0"/>
                <w:color w:val="000000"/>
                <w:sz w:val="24"/>
                <w:szCs w:val="24"/>
                <w:u w:val="none"/>
              </w:rPr>
            </w:pPr>
          </w:p>
        </w:tc>
        <w:tc>
          <w:tcPr>
            <w:tcW w:w="840" w:type="dxa"/>
            <w:shd w:val="clear" w:color="auto" w:fill="auto"/>
            <w:vAlign w:val="center"/>
          </w:tcPr>
          <w:p>
            <w:pPr>
              <w:spacing w:line="360" w:lineRule="auto"/>
              <w:jc w:val="both"/>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90" w:hRule="atLeast"/>
        </w:trPr>
        <w:tc>
          <w:tcPr>
            <w:tcW w:w="659" w:type="dxa"/>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w:t>
            </w:r>
          </w:p>
        </w:tc>
        <w:tc>
          <w:tcPr>
            <w:tcW w:w="5878" w:type="dxa"/>
            <w:shd w:val="clear" w:color="auto" w:fill="auto"/>
            <w:vAlign w:val="center"/>
          </w:tcPr>
          <w:p>
            <w:pPr>
              <w:pStyle w:val="3"/>
              <w:numPr>
                <w:ilvl w:val="0"/>
                <w:numId w:val="0"/>
              </w:numPr>
              <w:spacing w:line="360" w:lineRule="auto"/>
              <w:ind w:left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出具检定/校准证书的机构，应有法定资格，具备校准和检定能力，具备有效的CMA（或CMAF）证书、CNAS校准实验室证书。（提供承诺函并盖章）</w:t>
            </w:r>
          </w:p>
        </w:tc>
        <w:tc>
          <w:tcPr>
            <w:tcW w:w="750" w:type="dxa"/>
            <w:shd w:val="clear" w:color="auto" w:fill="auto"/>
            <w:vAlign w:val="center"/>
          </w:tcPr>
          <w:p>
            <w:pPr>
              <w:spacing w:line="360" w:lineRule="auto"/>
              <w:jc w:val="both"/>
              <w:rPr>
                <w:rFonts w:hint="eastAsia" w:ascii="仿宋" w:hAnsi="仿宋" w:eastAsia="仿宋" w:cs="仿宋"/>
                <w:i w:val="0"/>
                <w:color w:val="000000"/>
                <w:sz w:val="24"/>
                <w:szCs w:val="24"/>
                <w:u w:val="none"/>
              </w:rPr>
            </w:pPr>
          </w:p>
        </w:tc>
        <w:tc>
          <w:tcPr>
            <w:tcW w:w="705" w:type="dxa"/>
            <w:shd w:val="clear" w:color="auto" w:fill="auto"/>
            <w:vAlign w:val="center"/>
          </w:tcPr>
          <w:p>
            <w:pPr>
              <w:spacing w:line="360" w:lineRule="auto"/>
              <w:jc w:val="both"/>
              <w:rPr>
                <w:rFonts w:hint="eastAsia" w:ascii="仿宋" w:hAnsi="仿宋" w:eastAsia="仿宋" w:cs="仿宋"/>
                <w:i w:val="0"/>
                <w:color w:val="000000"/>
                <w:sz w:val="24"/>
                <w:szCs w:val="24"/>
                <w:u w:val="none"/>
              </w:rPr>
            </w:pPr>
          </w:p>
        </w:tc>
        <w:tc>
          <w:tcPr>
            <w:tcW w:w="840" w:type="dxa"/>
            <w:shd w:val="clear" w:color="auto" w:fill="auto"/>
            <w:vAlign w:val="center"/>
          </w:tcPr>
          <w:p>
            <w:pPr>
              <w:spacing w:line="360" w:lineRule="auto"/>
              <w:jc w:val="both"/>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41" w:hRule="atLeast"/>
        </w:trPr>
        <w:tc>
          <w:tcPr>
            <w:tcW w:w="659" w:type="dxa"/>
            <w:shd w:val="clear" w:color="auto" w:fill="auto"/>
            <w:vAlign w:val="center"/>
          </w:tcPr>
          <w:p>
            <w:pPr>
              <w:keepNext w:val="0"/>
              <w:keepLines w:val="0"/>
              <w:widowControl/>
              <w:suppressLineNumbers w:val="0"/>
              <w:spacing w:line="360" w:lineRule="auto"/>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4</w:t>
            </w:r>
          </w:p>
        </w:tc>
        <w:tc>
          <w:tcPr>
            <w:tcW w:w="5878" w:type="dxa"/>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响应函（如果是法定代表人亲自签署响应文件，则提供法定代表人证明书；如不是法定代表人亲自签署响应文件，则须提供法定代表人证明书及法定代表人的授权书，须提交且签字有效、并加盖公章有效）</w:t>
            </w:r>
          </w:p>
        </w:tc>
        <w:tc>
          <w:tcPr>
            <w:tcW w:w="750" w:type="dxa"/>
            <w:shd w:val="clear" w:color="auto" w:fill="auto"/>
            <w:vAlign w:val="center"/>
          </w:tcPr>
          <w:p>
            <w:pPr>
              <w:spacing w:line="360" w:lineRule="auto"/>
              <w:jc w:val="both"/>
              <w:rPr>
                <w:rFonts w:hint="eastAsia" w:ascii="仿宋" w:hAnsi="仿宋" w:eastAsia="仿宋" w:cs="仿宋"/>
                <w:i w:val="0"/>
                <w:color w:val="000000"/>
                <w:sz w:val="24"/>
                <w:szCs w:val="24"/>
                <w:u w:val="none"/>
              </w:rPr>
            </w:pPr>
          </w:p>
        </w:tc>
        <w:tc>
          <w:tcPr>
            <w:tcW w:w="705" w:type="dxa"/>
            <w:shd w:val="clear" w:color="auto" w:fill="auto"/>
            <w:vAlign w:val="center"/>
          </w:tcPr>
          <w:p>
            <w:pPr>
              <w:spacing w:line="360" w:lineRule="auto"/>
              <w:jc w:val="both"/>
              <w:rPr>
                <w:rFonts w:hint="eastAsia" w:ascii="仿宋" w:hAnsi="仿宋" w:eastAsia="仿宋" w:cs="仿宋"/>
                <w:i w:val="0"/>
                <w:color w:val="000000"/>
                <w:sz w:val="24"/>
                <w:szCs w:val="24"/>
                <w:u w:val="none"/>
              </w:rPr>
            </w:pPr>
          </w:p>
        </w:tc>
        <w:tc>
          <w:tcPr>
            <w:tcW w:w="840" w:type="dxa"/>
            <w:shd w:val="clear" w:color="auto" w:fill="auto"/>
            <w:vAlign w:val="center"/>
          </w:tcPr>
          <w:p>
            <w:pPr>
              <w:spacing w:line="360" w:lineRule="auto"/>
              <w:jc w:val="both"/>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50" w:hRule="atLeast"/>
        </w:trPr>
        <w:tc>
          <w:tcPr>
            <w:tcW w:w="659" w:type="dxa"/>
            <w:shd w:val="clear" w:color="auto" w:fill="auto"/>
            <w:vAlign w:val="center"/>
          </w:tcPr>
          <w:p>
            <w:pPr>
              <w:keepNext w:val="0"/>
              <w:keepLines w:val="0"/>
              <w:widowControl/>
              <w:suppressLineNumbers w:val="0"/>
              <w:spacing w:line="360" w:lineRule="auto"/>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w:t>
            </w:r>
          </w:p>
        </w:tc>
        <w:tc>
          <w:tcPr>
            <w:tcW w:w="5878" w:type="dxa"/>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法定代表人证明书或法定代表人授权委托书、经办人复印件。</w:t>
            </w:r>
          </w:p>
        </w:tc>
        <w:tc>
          <w:tcPr>
            <w:tcW w:w="750" w:type="dxa"/>
            <w:shd w:val="clear" w:color="auto" w:fill="auto"/>
            <w:vAlign w:val="center"/>
          </w:tcPr>
          <w:p>
            <w:pPr>
              <w:spacing w:line="360" w:lineRule="auto"/>
              <w:jc w:val="both"/>
              <w:rPr>
                <w:rFonts w:hint="eastAsia" w:ascii="仿宋" w:hAnsi="仿宋" w:eastAsia="仿宋" w:cs="仿宋"/>
                <w:i w:val="0"/>
                <w:color w:val="000000"/>
                <w:sz w:val="24"/>
                <w:szCs w:val="24"/>
                <w:u w:val="none"/>
              </w:rPr>
            </w:pPr>
          </w:p>
        </w:tc>
        <w:tc>
          <w:tcPr>
            <w:tcW w:w="705" w:type="dxa"/>
            <w:shd w:val="clear" w:color="auto" w:fill="auto"/>
            <w:vAlign w:val="center"/>
          </w:tcPr>
          <w:p>
            <w:pPr>
              <w:spacing w:line="360" w:lineRule="auto"/>
              <w:jc w:val="both"/>
              <w:rPr>
                <w:rFonts w:hint="eastAsia" w:ascii="仿宋" w:hAnsi="仿宋" w:eastAsia="仿宋" w:cs="仿宋"/>
                <w:i w:val="0"/>
                <w:color w:val="000000"/>
                <w:sz w:val="24"/>
                <w:szCs w:val="24"/>
                <w:u w:val="none"/>
              </w:rPr>
            </w:pPr>
          </w:p>
        </w:tc>
        <w:tc>
          <w:tcPr>
            <w:tcW w:w="840" w:type="dxa"/>
            <w:shd w:val="clear" w:color="auto" w:fill="auto"/>
            <w:vAlign w:val="center"/>
          </w:tcPr>
          <w:p>
            <w:pPr>
              <w:spacing w:line="360" w:lineRule="auto"/>
              <w:jc w:val="both"/>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rPr>
        <w:tc>
          <w:tcPr>
            <w:tcW w:w="659" w:type="dxa"/>
            <w:shd w:val="clear" w:color="auto" w:fill="auto"/>
            <w:vAlign w:val="center"/>
          </w:tcPr>
          <w:p>
            <w:pPr>
              <w:keepNext w:val="0"/>
              <w:keepLines w:val="0"/>
              <w:widowControl/>
              <w:suppressLineNumbers w:val="0"/>
              <w:spacing w:line="360" w:lineRule="auto"/>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6</w:t>
            </w:r>
          </w:p>
        </w:tc>
        <w:tc>
          <w:tcPr>
            <w:tcW w:w="5878" w:type="dxa"/>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参加政府采购活动前三年内，在经营活动中没有重大违法记录（可提供承诺函）。</w:t>
            </w:r>
          </w:p>
        </w:tc>
        <w:tc>
          <w:tcPr>
            <w:tcW w:w="750" w:type="dxa"/>
            <w:shd w:val="clear" w:color="auto" w:fill="auto"/>
            <w:vAlign w:val="center"/>
          </w:tcPr>
          <w:p>
            <w:pPr>
              <w:spacing w:line="360" w:lineRule="auto"/>
              <w:jc w:val="both"/>
              <w:rPr>
                <w:rFonts w:hint="eastAsia" w:ascii="仿宋" w:hAnsi="仿宋" w:eastAsia="仿宋" w:cs="仿宋"/>
                <w:i w:val="0"/>
                <w:color w:val="000000"/>
                <w:sz w:val="24"/>
                <w:szCs w:val="24"/>
                <w:u w:val="none"/>
              </w:rPr>
            </w:pPr>
          </w:p>
        </w:tc>
        <w:tc>
          <w:tcPr>
            <w:tcW w:w="705" w:type="dxa"/>
            <w:shd w:val="clear" w:color="auto" w:fill="auto"/>
            <w:vAlign w:val="center"/>
          </w:tcPr>
          <w:p>
            <w:pPr>
              <w:spacing w:line="360" w:lineRule="auto"/>
              <w:jc w:val="both"/>
              <w:rPr>
                <w:rFonts w:hint="eastAsia" w:ascii="仿宋" w:hAnsi="仿宋" w:eastAsia="仿宋" w:cs="仿宋"/>
                <w:i w:val="0"/>
                <w:color w:val="000000"/>
                <w:sz w:val="24"/>
                <w:szCs w:val="24"/>
                <w:u w:val="none"/>
              </w:rPr>
            </w:pPr>
          </w:p>
        </w:tc>
        <w:tc>
          <w:tcPr>
            <w:tcW w:w="840" w:type="dxa"/>
            <w:shd w:val="clear" w:color="auto" w:fill="auto"/>
            <w:vAlign w:val="center"/>
          </w:tcPr>
          <w:p>
            <w:pPr>
              <w:spacing w:line="360" w:lineRule="auto"/>
              <w:jc w:val="both"/>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80" w:hRule="atLeast"/>
        </w:trPr>
        <w:tc>
          <w:tcPr>
            <w:tcW w:w="659" w:type="dxa"/>
            <w:shd w:val="clear" w:color="auto" w:fill="auto"/>
            <w:vAlign w:val="center"/>
          </w:tcPr>
          <w:p>
            <w:pPr>
              <w:keepNext w:val="0"/>
              <w:keepLines w:val="0"/>
              <w:widowControl/>
              <w:suppressLineNumbers w:val="0"/>
              <w:spacing w:line="360" w:lineRule="auto"/>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7</w:t>
            </w:r>
          </w:p>
        </w:tc>
        <w:tc>
          <w:tcPr>
            <w:tcW w:w="5878" w:type="dxa"/>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报价表</w:t>
            </w:r>
          </w:p>
        </w:tc>
        <w:tc>
          <w:tcPr>
            <w:tcW w:w="750" w:type="dxa"/>
            <w:shd w:val="clear" w:color="auto" w:fill="auto"/>
            <w:vAlign w:val="center"/>
          </w:tcPr>
          <w:p>
            <w:pPr>
              <w:spacing w:line="360" w:lineRule="auto"/>
              <w:jc w:val="both"/>
              <w:rPr>
                <w:rFonts w:hint="eastAsia" w:ascii="仿宋" w:hAnsi="仿宋" w:eastAsia="仿宋" w:cs="仿宋"/>
                <w:i w:val="0"/>
                <w:color w:val="000000"/>
                <w:sz w:val="24"/>
                <w:szCs w:val="24"/>
                <w:u w:val="none"/>
              </w:rPr>
            </w:pPr>
          </w:p>
        </w:tc>
        <w:tc>
          <w:tcPr>
            <w:tcW w:w="705" w:type="dxa"/>
            <w:shd w:val="clear" w:color="auto" w:fill="auto"/>
            <w:vAlign w:val="center"/>
          </w:tcPr>
          <w:p>
            <w:pPr>
              <w:spacing w:line="360" w:lineRule="auto"/>
              <w:jc w:val="both"/>
              <w:rPr>
                <w:rFonts w:hint="eastAsia" w:ascii="仿宋" w:hAnsi="仿宋" w:eastAsia="仿宋" w:cs="仿宋"/>
                <w:i w:val="0"/>
                <w:color w:val="000000"/>
                <w:sz w:val="24"/>
                <w:szCs w:val="24"/>
                <w:u w:val="none"/>
              </w:rPr>
            </w:pPr>
          </w:p>
        </w:tc>
        <w:tc>
          <w:tcPr>
            <w:tcW w:w="840" w:type="dxa"/>
            <w:shd w:val="clear" w:color="auto" w:fill="auto"/>
            <w:vAlign w:val="center"/>
          </w:tcPr>
          <w:p>
            <w:pPr>
              <w:spacing w:line="360" w:lineRule="auto"/>
              <w:jc w:val="both"/>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80" w:hRule="atLeast"/>
        </w:trPr>
        <w:tc>
          <w:tcPr>
            <w:tcW w:w="659" w:type="dxa"/>
            <w:shd w:val="clear" w:color="auto" w:fill="auto"/>
            <w:vAlign w:val="center"/>
          </w:tcPr>
          <w:p>
            <w:pPr>
              <w:keepNext w:val="0"/>
              <w:keepLines w:val="0"/>
              <w:widowControl/>
              <w:suppressLineNumbers w:val="0"/>
              <w:spacing w:line="360" w:lineRule="auto"/>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8</w:t>
            </w:r>
          </w:p>
        </w:tc>
        <w:tc>
          <w:tcPr>
            <w:tcW w:w="5878" w:type="dxa"/>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其他相关文件（1.服务机构情况简介2.服务方案）</w:t>
            </w:r>
          </w:p>
        </w:tc>
        <w:tc>
          <w:tcPr>
            <w:tcW w:w="750" w:type="dxa"/>
            <w:shd w:val="clear" w:color="auto" w:fill="auto"/>
            <w:vAlign w:val="center"/>
          </w:tcPr>
          <w:p>
            <w:pPr>
              <w:spacing w:line="360" w:lineRule="auto"/>
              <w:jc w:val="both"/>
              <w:rPr>
                <w:rFonts w:hint="eastAsia" w:ascii="仿宋" w:hAnsi="仿宋" w:eastAsia="仿宋" w:cs="仿宋"/>
                <w:i w:val="0"/>
                <w:color w:val="000000"/>
                <w:sz w:val="24"/>
                <w:szCs w:val="24"/>
                <w:u w:val="none"/>
              </w:rPr>
            </w:pPr>
          </w:p>
        </w:tc>
        <w:tc>
          <w:tcPr>
            <w:tcW w:w="705" w:type="dxa"/>
            <w:shd w:val="clear" w:color="auto" w:fill="auto"/>
            <w:vAlign w:val="center"/>
          </w:tcPr>
          <w:p>
            <w:pPr>
              <w:spacing w:line="360" w:lineRule="auto"/>
              <w:jc w:val="both"/>
              <w:rPr>
                <w:rFonts w:hint="eastAsia" w:ascii="仿宋" w:hAnsi="仿宋" w:eastAsia="仿宋" w:cs="仿宋"/>
                <w:i w:val="0"/>
                <w:color w:val="000000"/>
                <w:sz w:val="24"/>
                <w:szCs w:val="24"/>
                <w:u w:val="none"/>
              </w:rPr>
            </w:pPr>
          </w:p>
        </w:tc>
        <w:tc>
          <w:tcPr>
            <w:tcW w:w="840" w:type="dxa"/>
            <w:shd w:val="clear" w:color="auto" w:fill="auto"/>
            <w:vAlign w:val="center"/>
          </w:tcPr>
          <w:p>
            <w:pPr>
              <w:spacing w:line="360" w:lineRule="auto"/>
              <w:jc w:val="both"/>
              <w:rPr>
                <w:rFonts w:hint="eastAsia" w:ascii="仿宋" w:hAnsi="仿宋" w:eastAsia="仿宋" w:cs="仿宋"/>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80" w:hRule="atLeast"/>
        </w:trPr>
        <w:tc>
          <w:tcPr>
            <w:tcW w:w="659" w:type="dxa"/>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结果</w:t>
            </w:r>
          </w:p>
        </w:tc>
        <w:tc>
          <w:tcPr>
            <w:tcW w:w="5878" w:type="dxa"/>
            <w:shd w:val="clear" w:color="auto" w:fill="auto"/>
            <w:vAlign w:val="center"/>
          </w:tcPr>
          <w:p>
            <w:pPr>
              <w:spacing w:line="360" w:lineRule="auto"/>
              <w:jc w:val="both"/>
              <w:rPr>
                <w:rFonts w:hint="eastAsia" w:ascii="仿宋" w:hAnsi="仿宋" w:eastAsia="仿宋" w:cs="仿宋"/>
                <w:i w:val="0"/>
                <w:color w:val="000000"/>
                <w:sz w:val="24"/>
                <w:szCs w:val="24"/>
                <w:u w:val="none"/>
              </w:rPr>
            </w:pPr>
          </w:p>
        </w:tc>
        <w:tc>
          <w:tcPr>
            <w:tcW w:w="750" w:type="dxa"/>
            <w:shd w:val="clear" w:color="auto" w:fill="auto"/>
            <w:vAlign w:val="center"/>
          </w:tcPr>
          <w:p>
            <w:pPr>
              <w:spacing w:line="360" w:lineRule="auto"/>
              <w:jc w:val="both"/>
              <w:rPr>
                <w:rFonts w:hint="eastAsia" w:ascii="仿宋" w:hAnsi="仿宋" w:eastAsia="仿宋" w:cs="仿宋"/>
                <w:i w:val="0"/>
                <w:color w:val="000000"/>
                <w:sz w:val="24"/>
                <w:szCs w:val="24"/>
                <w:u w:val="none"/>
              </w:rPr>
            </w:pPr>
          </w:p>
        </w:tc>
        <w:tc>
          <w:tcPr>
            <w:tcW w:w="705" w:type="dxa"/>
            <w:shd w:val="clear" w:color="auto" w:fill="auto"/>
            <w:vAlign w:val="center"/>
          </w:tcPr>
          <w:p>
            <w:pPr>
              <w:spacing w:line="360" w:lineRule="auto"/>
              <w:jc w:val="both"/>
              <w:rPr>
                <w:rFonts w:hint="eastAsia" w:ascii="仿宋" w:hAnsi="仿宋" w:eastAsia="仿宋" w:cs="仿宋"/>
                <w:i w:val="0"/>
                <w:color w:val="000000"/>
                <w:sz w:val="24"/>
                <w:szCs w:val="24"/>
                <w:u w:val="none"/>
              </w:rPr>
            </w:pPr>
          </w:p>
        </w:tc>
        <w:tc>
          <w:tcPr>
            <w:tcW w:w="840" w:type="dxa"/>
            <w:shd w:val="clear" w:color="auto" w:fill="auto"/>
            <w:vAlign w:val="center"/>
          </w:tcPr>
          <w:p>
            <w:pPr>
              <w:spacing w:line="360" w:lineRule="auto"/>
              <w:rPr>
                <w:rFonts w:hint="eastAsia" w:ascii="仿宋" w:hAnsi="仿宋" w:eastAsia="仿宋" w:cs="仿宋"/>
                <w:i w:val="0"/>
                <w:color w:val="000000"/>
                <w:sz w:val="24"/>
                <w:szCs w:val="24"/>
                <w:u w:val="none"/>
              </w:rPr>
            </w:pPr>
          </w:p>
        </w:tc>
      </w:tr>
    </w:tbl>
    <w:p>
      <w:pPr>
        <w:keepNext w:val="0"/>
        <w:keepLines w:val="0"/>
        <w:pageBreakBefore w:val="0"/>
        <w:widowControl w:val="0"/>
        <w:kinsoku/>
        <w:wordWrap/>
        <w:overflowPunct/>
        <w:topLinePunct w:val="0"/>
        <w:autoSpaceDE/>
        <w:autoSpaceDN/>
        <w:bidi w:val="0"/>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以上符合性审查项目评审标准为“通过”和“不通过”，通过的打“Ｏ”，不通过的打“×”。如对符合性审查评审中有一项不能通过评审，则最终评审结果为“不通过”。</w:t>
      </w:r>
      <w:r>
        <w:rPr>
          <w:rFonts w:hint="eastAsia" w:ascii="仿宋" w:hAnsi="仿宋" w:eastAsia="仿宋" w:cs="仿宋"/>
          <w:sz w:val="32"/>
          <w:szCs w:val="32"/>
          <w:lang w:val="en-US" w:eastAsia="zh-CN"/>
        </w:rPr>
        <w:t>通过的进入报价评审环节。</w:t>
      </w:r>
    </w:p>
    <w:p>
      <w:pPr>
        <w:keepNext w:val="0"/>
        <w:keepLines w:val="0"/>
        <w:pageBreakBefore w:val="0"/>
        <w:widowControl w:val="0"/>
        <w:kinsoku/>
        <w:wordWrap/>
        <w:overflowPunct/>
        <w:topLinePunct w:val="0"/>
        <w:autoSpaceDE/>
        <w:autoSpaceDN/>
        <w:bidi w:val="0"/>
        <w:spacing w:line="640" w:lineRule="exact"/>
        <w:ind w:firstLine="640" w:firstLineChars="200"/>
        <w:textAlignment w:val="auto"/>
        <w:rPr>
          <w:rFonts w:hint="eastAsia" w:ascii="仿宋" w:hAnsi="仿宋" w:eastAsia="仿宋" w:cs="仿宋"/>
          <w:b/>
          <w:bCs/>
          <w:sz w:val="32"/>
          <w:szCs w:val="32"/>
          <w:lang w:val="en-US" w:eastAsia="zh-CN"/>
        </w:rPr>
      </w:pPr>
      <w:r>
        <w:rPr>
          <w:rFonts w:hint="eastAsia" w:ascii="楷体" w:hAnsi="楷体" w:eastAsia="楷体" w:cs="楷体"/>
          <w:b w:val="0"/>
          <w:bCs w:val="0"/>
          <w:sz w:val="32"/>
          <w:szCs w:val="32"/>
        </w:rPr>
        <w:t>（二）</w:t>
      </w:r>
      <w:r>
        <w:rPr>
          <w:rFonts w:hint="eastAsia" w:ascii="楷体" w:hAnsi="楷体" w:eastAsia="楷体" w:cs="楷体"/>
          <w:b w:val="0"/>
          <w:bCs w:val="0"/>
          <w:sz w:val="32"/>
          <w:szCs w:val="32"/>
          <w:lang w:val="en-US" w:eastAsia="zh-CN"/>
        </w:rPr>
        <w:t>报价评审</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评委对投标人进行符合性审查，同等条件下，选取报价最低的投标人。</w:t>
      </w:r>
    </w:p>
    <w:p>
      <w:pPr>
        <w:keepNext w:val="0"/>
        <w:keepLines w:val="0"/>
        <w:pageBreakBefore w:val="0"/>
        <w:widowControl w:val="0"/>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rPr>
        <w:t>表2：</w:t>
      </w:r>
      <w:r>
        <w:rPr>
          <w:rFonts w:hint="eastAsia" w:ascii="仿宋" w:hAnsi="仿宋" w:eastAsia="仿宋" w:cs="仿宋"/>
          <w:sz w:val="32"/>
          <w:szCs w:val="32"/>
          <w:lang w:val="en-US" w:eastAsia="zh-CN"/>
        </w:rPr>
        <w:t>报价评审表</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4272"/>
        <w:gridCol w:w="1908"/>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spacing w:line="480" w:lineRule="exact"/>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rPr>
              <w:t>序号</w:t>
            </w:r>
          </w:p>
        </w:tc>
        <w:tc>
          <w:tcPr>
            <w:tcW w:w="4272" w:type="dxa"/>
            <w:vAlign w:val="center"/>
          </w:tcPr>
          <w:p>
            <w:pPr>
              <w:spacing w:line="480" w:lineRule="exact"/>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lang w:val="en-US" w:eastAsia="zh-CN"/>
              </w:rPr>
              <w:t>投标人公司</w:t>
            </w:r>
            <w:r>
              <w:rPr>
                <w:rFonts w:hint="eastAsia" w:ascii="仿宋" w:hAnsi="仿宋" w:eastAsia="仿宋" w:cs="仿宋"/>
                <w:b/>
                <w:bCs/>
                <w:sz w:val="32"/>
                <w:szCs w:val="32"/>
              </w:rPr>
              <w:t>名称</w:t>
            </w:r>
          </w:p>
        </w:tc>
        <w:tc>
          <w:tcPr>
            <w:tcW w:w="1908" w:type="dxa"/>
            <w:vAlign w:val="center"/>
          </w:tcPr>
          <w:p>
            <w:pPr>
              <w:spacing w:line="48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rPr>
              <w:t>报价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元</w:t>
            </w:r>
            <w:r>
              <w:rPr>
                <w:rFonts w:hint="eastAsia" w:ascii="仿宋" w:hAnsi="仿宋" w:eastAsia="仿宋" w:cs="仿宋"/>
                <w:b/>
                <w:bCs/>
                <w:sz w:val="32"/>
                <w:szCs w:val="32"/>
                <w:lang w:eastAsia="zh-CN"/>
              </w:rPr>
              <w:t>）</w:t>
            </w:r>
          </w:p>
        </w:tc>
        <w:tc>
          <w:tcPr>
            <w:tcW w:w="1475" w:type="dxa"/>
            <w:vAlign w:val="center"/>
          </w:tcPr>
          <w:p>
            <w:pPr>
              <w:spacing w:line="48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w:t>
            </w:r>
          </w:p>
        </w:tc>
        <w:tc>
          <w:tcPr>
            <w:tcW w:w="42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32"/>
                <w:szCs w:val="32"/>
                <w:vertAlign w:val="baseline"/>
                <w:lang w:val="en-US" w:eastAsia="zh-CN"/>
              </w:rPr>
            </w:pPr>
          </w:p>
        </w:tc>
        <w:tc>
          <w:tcPr>
            <w:tcW w:w="19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32"/>
                <w:szCs w:val="32"/>
                <w:vertAlign w:val="baseline"/>
                <w:lang w:val="en-US" w:eastAsia="zh-CN"/>
              </w:rPr>
            </w:pPr>
          </w:p>
        </w:tc>
        <w:tc>
          <w:tcPr>
            <w:tcW w:w="1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2</w:t>
            </w:r>
          </w:p>
        </w:tc>
        <w:tc>
          <w:tcPr>
            <w:tcW w:w="42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32"/>
                <w:szCs w:val="32"/>
                <w:vertAlign w:val="baseline"/>
                <w:lang w:val="en-US" w:eastAsia="zh-CN"/>
              </w:rPr>
            </w:pPr>
          </w:p>
        </w:tc>
        <w:tc>
          <w:tcPr>
            <w:tcW w:w="19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32"/>
                <w:szCs w:val="32"/>
                <w:vertAlign w:val="baseline"/>
                <w:lang w:val="en-US" w:eastAsia="zh-CN"/>
              </w:rPr>
            </w:pPr>
          </w:p>
        </w:tc>
        <w:tc>
          <w:tcPr>
            <w:tcW w:w="1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3</w:t>
            </w:r>
          </w:p>
        </w:tc>
        <w:tc>
          <w:tcPr>
            <w:tcW w:w="42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ascii="仿宋" w:hAnsi="仿宋" w:eastAsia="仿宋" w:cs="仿宋"/>
                <w:b w:val="0"/>
                <w:bCs w:val="0"/>
                <w:sz w:val="32"/>
                <w:szCs w:val="32"/>
                <w:vertAlign w:val="baseline"/>
                <w:lang w:val="en-US" w:eastAsia="zh-CN"/>
              </w:rPr>
            </w:pPr>
          </w:p>
        </w:tc>
        <w:tc>
          <w:tcPr>
            <w:tcW w:w="19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ascii="仿宋" w:hAnsi="仿宋" w:eastAsia="仿宋" w:cs="仿宋"/>
                <w:b w:val="0"/>
                <w:bCs w:val="0"/>
                <w:sz w:val="32"/>
                <w:szCs w:val="32"/>
                <w:vertAlign w:val="baseline"/>
                <w:lang w:val="en-US" w:eastAsia="zh-CN"/>
              </w:rPr>
            </w:pPr>
          </w:p>
        </w:tc>
        <w:tc>
          <w:tcPr>
            <w:tcW w:w="1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4</w:t>
            </w:r>
          </w:p>
        </w:tc>
        <w:tc>
          <w:tcPr>
            <w:tcW w:w="42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32"/>
                <w:szCs w:val="32"/>
                <w:vertAlign w:val="baseline"/>
                <w:lang w:val="en-US" w:eastAsia="zh-CN"/>
              </w:rPr>
            </w:pPr>
          </w:p>
        </w:tc>
        <w:tc>
          <w:tcPr>
            <w:tcW w:w="19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32"/>
                <w:szCs w:val="32"/>
                <w:vertAlign w:val="baseline"/>
                <w:lang w:val="en-US" w:eastAsia="zh-CN"/>
              </w:rPr>
            </w:pPr>
          </w:p>
        </w:tc>
        <w:tc>
          <w:tcPr>
            <w:tcW w:w="1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852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结论：经过对上述x家公司的各项条件对比，xxxx公司在同类项目服务经验及服务费报价上较其他x家公司更有优势，更有利本项目服务的开展。因此，建议xxx公司为本项目的供应商。</w:t>
            </w:r>
          </w:p>
        </w:tc>
      </w:tr>
    </w:tbl>
    <w:p>
      <w:pPr>
        <w:keepNext w:val="0"/>
        <w:keepLines w:val="0"/>
        <w:pageBreakBefore w:val="0"/>
        <w:widowControl w:val="0"/>
        <w:kinsoku/>
        <w:wordWrap/>
        <w:overflowPunct/>
        <w:topLinePunct w:val="0"/>
        <w:autoSpaceDE/>
        <w:autoSpaceDN/>
        <w:bidi w:val="0"/>
        <w:spacing w:line="640" w:lineRule="exact"/>
        <w:ind w:firstLine="643" w:firstLineChars="200"/>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spacing w:line="640" w:lineRule="exact"/>
        <w:ind w:firstLine="640" w:firstLineChars="200"/>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rPr>
        <w:t>（三）</w:t>
      </w:r>
      <w:r>
        <w:rPr>
          <w:rFonts w:hint="eastAsia" w:ascii="楷体" w:hAnsi="楷体" w:eastAsia="楷体" w:cs="楷体"/>
          <w:b w:val="0"/>
          <w:bCs w:val="0"/>
          <w:sz w:val="32"/>
          <w:szCs w:val="32"/>
          <w:lang w:val="en-US" w:eastAsia="zh-CN"/>
        </w:rPr>
        <w:t>选定供应商</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按照符合性审查结果，</w:t>
      </w:r>
      <w:r>
        <w:rPr>
          <w:rFonts w:hint="eastAsia" w:ascii="仿宋" w:hAnsi="仿宋" w:eastAsia="仿宋" w:cs="仿宋"/>
          <w:sz w:val="32"/>
          <w:szCs w:val="32"/>
        </w:rPr>
        <w:t>按投标报价由低到高顺序排列</w:t>
      </w:r>
      <w:r>
        <w:rPr>
          <w:rFonts w:hint="eastAsia" w:ascii="仿宋" w:hAnsi="仿宋" w:eastAsia="仿宋" w:cs="仿宋"/>
          <w:sz w:val="32"/>
          <w:szCs w:val="32"/>
          <w:lang w:eastAsia="zh-CN"/>
        </w:rPr>
        <w:t>，</w:t>
      </w:r>
      <w:bookmarkStart w:id="1" w:name="_Hlk528938996"/>
      <w:r>
        <w:rPr>
          <w:rFonts w:hint="eastAsia" w:ascii="仿宋" w:hAnsi="仿宋" w:eastAsia="仿宋" w:cs="仿宋"/>
          <w:sz w:val="32"/>
          <w:szCs w:val="32"/>
        </w:rPr>
        <w:t>同等条件下，选取报价最低的</w:t>
      </w:r>
      <w:r>
        <w:rPr>
          <w:rFonts w:hint="eastAsia" w:ascii="仿宋" w:hAnsi="仿宋" w:eastAsia="仿宋" w:cs="仿宋"/>
          <w:sz w:val="32"/>
          <w:szCs w:val="32"/>
          <w:lang w:val="en-US" w:eastAsia="zh-CN"/>
        </w:rPr>
        <w:t>投标</w:t>
      </w:r>
      <w:r>
        <w:rPr>
          <w:rFonts w:hint="eastAsia" w:ascii="仿宋" w:hAnsi="仿宋" w:eastAsia="仿宋" w:cs="仿宋"/>
          <w:sz w:val="32"/>
          <w:szCs w:val="32"/>
        </w:rPr>
        <w:t>人。</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评审结果公示</w:t>
      </w:r>
      <w:bookmarkEnd w:id="0"/>
      <w:bookmarkEnd w:id="1"/>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评审结果将会在广州市花都区农业农村局网站进行公示。</w:t>
      </w:r>
    </w:p>
    <w:sectPr>
      <w:headerReference r:id="rId3" w:type="default"/>
      <w:footerReference r:id="rId4" w:type="default"/>
      <w:pgSz w:w="11906" w:h="16838"/>
      <w:pgMar w:top="1417" w:right="1531" w:bottom="113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OHS3HHRAQAApQMAAA4AAAAAAAAAAQAgAAAAHgEAAGRy&#10;cy9lMm9Eb2MueG1sUEsFBgAAAAAGAAYAWQEAAGE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B21365"/>
    <w:multiLevelType w:val="multilevel"/>
    <w:tmpl w:val="7FB21365"/>
    <w:lvl w:ilvl="0" w:tentative="0">
      <w:start w:val="1"/>
      <w:numFmt w:val="decimal"/>
      <w:pStyle w:val="2"/>
      <w:lvlText w:val="第%1章"/>
      <w:lvlJc w:val="left"/>
      <w:pPr>
        <w:tabs>
          <w:tab w:val="left" w:pos="360"/>
        </w:tabs>
        <w:ind w:left="0" w:firstLine="0"/>
      </w:pPr>
      <w:rPr>
        <w:rFonts w:hint="default" w:ascii="Arial" w:hAnsi="Arial" w:eastAsia="黑体"/>
        <w:b/>
        <w:i w:val="0"/>
        <w:sz w:val="32"/>
      </w:rPr>
    </w:lvl>
    <w:lvl w:ilvl="1" w:tentative="0">
      <w:start w:val="1"/>
      <w:numFmt w:val="decimal"/>
      <w:lvlText w:val="%1.%2"/>
      <w:lvlJc w:val="left"/>
      <w:pPr>
        <w:tabs>
          <w:tab w:val="left" w:pos="720"/>
        </w:tabs>
        <w:ind w:left="0" w:firstLine="0"/>
      </w:pPr>
      <w:rPr>
        <w:rFonts w:hint="default" w:ascii="Arial" w:hAnsi="Arial" w:eastAsia="黑体"/>
        <w:sz w:val="30"/>
      </w:rPr>
    </w:lvl>
    <w:lvl w:ilvl="2" w:tentative="0">
      <w:start w:val="1"/>
      <w:numFmt w:val="decimal"/>
      <w:lvlText w:val="%1.%2.%3"/>
      <w:lvlJc w:val="left"/>
      <w:pPr>
        <w:tabs>
          <w:tab w:val="left" w:pos="720"/>
        </w:tabs>
        <w:ind w:left="0" w:firstLine="0"/>
      </w:pPr>
      <w:rPr>
        <w:rFonts w:hint="default" w:ascii="Arial" w:hAnsi="Arial" w:eastAsia="黑体"/>
        <w:sz w:val="28"/>
      </w:rPr>
    </w:lvl>
    <w:lvl w:ilvl="3" w:tentative="0">
      <w:start w:val="1"/>
      <w:numFmt w:val="decimal"/>
      <w:lvlText w:val="%1.%2.%3.%4"/>
      <w:lvlJc w:val="left"/>
      <w:pPr>
        <w:tabs>
          <w:tab w:val="left" w:pos="1080"/>
        </w:tabs>
        <w:ind w:left="0" w:firstLine="0"/>
      </w:pPr>
      <w:rPr>
        <w:rFonts w:hint="default" w:ascii="Arial" w:hAnsi="Arial" w:eastAsia="黑体"/>
        <w:sz w:val="28"/>
      </w:rPr>
    </w:lvl>
    <w:lvl w:ilvl="4" w:tentative="0">
      <w:start w:val="1"/>
      <w:numFmt w:val="decimal"/>
      <w:lvlText w:val="%1.%2.%3.%4.%5"/>
      <w:lvlJc w:val="left"/>
      <w:pPr>
        <w:tabs>
          <w:tab w:val="left" w:pos="1440"/>
        </w:tabs>
        <w:ind w:left="0" w:firstLine="0"/>
      </w:pPr>
      <w:rPr>
        <w:rFonts w:hint="default" w:ascii="Arial" w:hAnsi="Arial" w:eastAsia="黑体"/>
        <w:sz w:val="28"/>
      </w:rPr>
    </w:lvl>
    <w:lvl w:ilvl="5" w:tentative="0">
      <w:start w:val="1"/>
      <w:numFmt w:val="decimal"/>
      <w:lvlText w:val="%1.%2.%3.%4.%5.%6"/>
      <w:lvlJc w:val="left"/>
      <w:pPr>
        <w:tabs>
          <w:tab w:val="left" w:pos="108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638"/>
    <w:rsid w:val="00092CE9"/>
    <w:rsid w:val="000E3D9E"/>
    <w:rsid w:val="000F1236"/>
    <w:rsid w:val="00107E59"/>
    <w:rsid w:val="001332A8"/>
    <w:rsid w:val="00184D8C"/>
    <w:rsid w:val="001B5505"/>
    <w:rsid w:val="001C3ED8"/>
    <w:rsid w:val="001D2BEC"/>
    <w:rsid w:val="00211540"/>
    <w:rsid w:val="00215BB2"/>
    <w:rsid w:val="00231044"/>
    <w:rsid w:val="0023544F"/>
    <w:rsid w:val="00235684"/>
    <w:rsid w:val="00265BD8"/>
    <w:rsid w:val="00266EB6"/>
    <w:rsid w:val="0028528E"/>
    <w:rsid w:val="002C31D5"/>
    <w:rsid w:val="002D4C80"/>
    <w:rsid w:val="00300F71"/>
    <w:rsid w:val="0031063F"/>
    <w:rsid w:val="00321591"/>
    <w:rsid w:val="003219E9"/>
    <w:rsid w:val="00324DD6"/>
    <w:rsid w:val="003326DA"/>
    <w:rsid w:val="003419B5"/>
    <w:rsid w:val="00351486"/>
    <w:rsid w:val="00364B5F"/>
    <w:rsid w:val="003721DE"/>
    <w:rsid w:val="003740E6"/>
    <w:rsid w:val="00374A95"/>
    <w:rsid w:val="003A0D67"/>
    <w:rsid w:val="003B537B"/>
    <w:rsid w:val="003C4990"/>
    <w:rsid w:val="003D4FF5"/>
    <w:rsid w:val="003D5A60"/>
    <w:rsid w:val="003E5501"/>
    <w:rsid w:val="0041206C"/>
    <w:rsid w:val="004211DE"/>
    <w:rsid w:val="00427D15"/>
    <w:rsid w:val="004327A8"/>
    <w:rsid w:val="00437207"/>
    <w:rsid w:val="00464E87"/>
    <w:rsid w:val="00484434"/>
    <w:rsid w:val="004A0B59"/>
    <w:rsid w:val="004B5D43"/>
    <w:rsid w:val="004C33F1"/>
    <w:rsid w:val="004D025A"/>
    <w:rsid w:val="00511B93"/>
    <w:rsid w:val="00536260"/>
    <w:rsid w:val="00582EFE"/>
    <w:rsid w:val="005949A3"/>
    <w:rsid w:val="005F6FE5"/>
    <w:rsid w:val="00643D23"/>
    <w:rsid w:val="006500D3"/>
    <w:rsid w:val="00654898"/>
    <w:rsid w:val="0068592D"/>
    <w:rsid w:val="006C6722"/>
    <w:rsid w:val="006D484D"/>
    <w:rsid w:val="006F4A87"/>
    <w:rsid w:val="00701F6E"/>
    <w:rsid w:val="00707AA3"/>
    <w:rsid w:val="007966F0"/>
    <w:rsid w:val="007A0D32"/>
    <w:rsid w:val="007D40EA"/>
    <w:rsid w:val="007F0137"/>
    <w:rsid w:val="007F671A"/>
    <w:rsid w:val="00815B52"/>
    <w:rsid w:val="008167B1"/>
    <w:rsid w:val="00875638"/>
    <w:rsid w:val="008B08DD"/>
    <w:rsid w:val="008C6ACF"/>
    <w:rsid w:val="008D3EFF"/>
    <w:rsid w:val="00906A16"/>
    <w:rsid w:val="00923B3D"/>
    <w:rsid w:val="00940B64"/>
    <w:rsid w:val="00952C3D"/>
    <w:rsid w:val="00961563"/>
    <w:rsid w:val="00963D53"/>
    <w:rsid w:val="00967C39"/>
    <w:rsid w:val="0099149E"/>
    <w:rsid w:val="009918E9"/>
    <w:rsid w:val="009B690F"/>
    <w:rsid w:val="00A01753"/>
    <w:rsid w:val="00A21A12"/>
    <w:rsid w:val="00A25AAF"/>
    <w:rsid w:val="00A32030"/>
    <w:rsid w:val="00A511A5"/>
    <w:rsid w:val="00A577F6"/>
    <w:rsid w:val="00A60068"/>
    <w:rsid w:val="00A715F5"/>
    <w:rsid w:val="00A8255E"/>
    <w:rsid w:val="00A86ABB"/>
    <w:rsid w:val="00AA2D74"/>
    <w:rsid w:val="00AA5024"/>
    <w:rsid w:val="00AE2C7D"/>
    <w:rsid w:val="00AF1672"/>
    <w:rsid w:val="00B24A18"/>
    <w:rsid w:val="00B273BD"/>
    <w:rsid w:val="00B632D1"/>
    <w:rsid w:val="00B807D9"/>
    <w:rsid w:val="00B811C9"/>
    <w:rsid w:val="00BC1133"/>
    <w:rsid w:val="00BF18B8"/>
    <w:rsid w:val="00C168C1"/>
    <w:rsid w:val="00C21A2A"/>
    <w:rsid w:val="00C22A1F"/>
    <w:rsid w:val="00C264FD"/>
    <w:rsid w:val="00C94A57"/>
    <w:rsid w:val="00C96B47"/>
    <w:rsid w:val="00C97A81"/>
    <w:rsid w:val="00CB4A4E"/>
    <w:rsid w:val="00CC7BA2"/>
    <w:rsid w:val="00CD2A4D"/>
    <w:rsid w:val="00CD4A35"/>
    <w:rsid w:val="00CF449D"/>
    <w:rsid w:val="00D07DBD"/>
    <w:rsid w:val="00D16070"/>
    <w:rsid w:val="00D675D0"/>
    <w:rsid w:val="00D76FA6"/>
    <w:rsid w:val="00D822E6"/>
    <w:rsid w:val="00D863DE"/>
    <w:rsid w:val="00DA6600"/>
    <w:rsid w:val="00DC6806"/>
    <w:rsid w:val="00E07BF4"/>
    <w:rsid w:val="00E87B43"/>
    <w:rsid w:val="00E94BEC"/>
    <w:rsid w:val="00EA02B9"/>
    <w:rsid w:val="00EB6889"/>
    <w:rsid w:val="00EC19DC"/>
    <w:rsid w:val="00EC392F"/>
    <w:rsid w:val="00EC5C88"/>
    <w:rsid w:val="00EE20A4"/>
    <w:rsid w:val="00F3745A"/>
    <w:rsid w:val="00F450E5"/>
    <w:rsid w:val="00F546E3"/>
    <w:rsid w:val="00F73B97"/>
    <w:rsid w:val="00F77588"/>
    <w:rsid w:val="00F9122E"/>
    <w:rsid w:val="00FA47B5"/>
    <w:rsid w:val="00FD3060"/>
    <w:rsid w:val="00FE62E2"/>
    <w:rsid w:val="00FF1E4F"/>
    <w:rsid w:val="03742BB2"/>
    <w:rsid w:val="03F82848"/>
    <w:rsid w:val="04DC7DA2"/>
    <w:rsid w:val="05E13981"/>
    <w:rsid w:val="05E937CF"/>
    <w:rsid w:val="0DB0620F"/>
    <w:rsid w:val="0DEF5863"/>
    <w:rsid w:val="0E4B09AA"/>
    <w:rsid w:val="11C16961"/>
    <w:rsid w:val="14C66B32"/>
    <w:rsid w:val="14E1472B"/>
    <w:rsid w:val="163343D7"/>
    <w:rsid w:val="176F4D36"/>
    <w:rsid w:val="18507BCC"/>
    <w:rsid w:val="185903BF"/>
    <w:rsid w:val="1BA231DE"/>
    <w:rsid w:val="1C186A2A"/>
    <w:rsid w:val="1FC714DF"/>
    <w:rsid w:val="22A42CAE"/>
    <w:rsid w:val="30D41EE0"/>
    <w:rsid w:val="32A265DB"/>
    <w:rsid w:val="335B4BC5"/>
    <w:rsid w:val="33E41CA4"/>
    <w:rsid w:val="34E159A9"/>
    <w:rsid w:val="354A2041"/>
    <w:rsid w:val="35702565"/>
    <w:rsid w:val="39420C9A"/>
    <w:rsid w:val="39BC4B19"/>
    <w:rsid w:val="3CF10966"/>
    <w:rsid w:val="3EA8612D"/>
    <w:rsid w:val="3FBE6A1D"/>
    <w:rsid w:val="40E11007"/>
    <w:rsid w:val="41471EA5"/>
    <w:rsid w:val="433971B4"/>
    <w:rsid w:val="46642D24"/>
    <w:rsid w:val="466F710C"/>
    <w:rsid w:val="471A678C"/>
    <w:rsid w:val="48577C8E"/>
    <w:rsid w:val="48765219"/>
    <w:rsid w:val="4A1869E1"/>
    <w:rsid w:val="4A9242F3"/>
    <w:rsid w:val="4BE514F3"/>
    <w:rsid w:val="4CBC34E6"/>
    <w:rsid w:val="4E824436"/>
    <w:rsid w:val="52136F47"/>
    <w:rsid w:val="54E25002"/>
    <w:rsid w:val="551416E5"/>
    <w:rsid w:val="585F0850"/>
    <w:rsid w:val="58EA4AA6"/>
    <w:rsid w:val="5A3C51D3"/>
    <w:rsid w:val="5C6F3B2D"/>
    <w:rsid w:val="5E8701CD"/>
    <w:rsid w:val="62A22585"/>
    <w:rsid w:val="63BC6F59"/>
    <w:rsid w:val="649220B0"/>
    <w:rsid w:val="65795528"/>
    <w:rsid w:val="66696571"/>
    <w:rsid w:val="6A6A1DFE"/>
    <w:rsid w:val="6B307B69"/>
    <w:rsid w:val="6B426633"/>
    <w:rsid w:val="6B8A4DA2"/>
    <w:rsid w:val="6BBF6FD2"/>
    <w:rsid w:val="6DC10272"/>
    <w:rsid w:val="6EDC34B7"/>
    <w:rsid w:val="71286FBE"/>
    <w:rsid w:val="71BB14F4"/>
    <w:rsid w:val="76E560E0"/>
    <w:rsid w:val="7748458E"/>
    <w:rsid w:val="77A06CD6"/>
    <w:rsid w:val="77F73C10"/>
    <w:rsid w:val="784312FA"/>
    <w:rsid w:val="790439F2"/>
    <w:rsid w:val="79FA2BC4"/>
    <w:rsid w:val="7BF514DC"/>
    <w:rsid w:val="7C1620AD"/>
    <w:rsid w:val="7E9951AF"/>
    <w:rsid w:val="7FFE5A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locked/>
    <w:uiPriority w:val="0"/>
    <w:pPr>
      <w:keepNext/>
      <w:keepLines/>
      <w:numPr>
        <w:ilvl w:val="0"/>
        <w:numId w:val="1"/>
      </w:numPr>
      <w:spacing w:before="200" w:after="200" w:line="578" w:lineRule="auto"/>
      <w:outlineLvl w:val="0"/>
    </w:pPr>
    <w:rPr>
      <w:rFonts w:ascii="Arial" w:hAnsi="Arial" w:eastAsia="黑体"/>
      <w:b/>
      <w:bCs/>
      <w:kern w:val="44"/>
      <w:sz w:val="32"/>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200" w:firstLineChars="200"/>
    </w:pPr>
    <w:rPr>
      <w:rFonts w:ascii="Times New Roman" w:hAnsi="Times New Roman" w:eastAsia="宋体" w:cs="Times New Roman"/>
      <w:szCs w:val="24"/>
      <w:lang w:bidi="ar-SA"/>
    </w:rPr>
  </w:style>
  <w:style w:type="paragraph" w:styleId="4">
    <w:name w:val="Plain Text"/>
    <w:basedOn w:val="1"/>
    <w:link w:val="12"/>
    <w:qFormat/>
    <w:uiPriority w:val="0"/>
    <w:rPr>
      <w:rFonts w:ascii="宋体" w:hAnsi="Courier New" w:cs="Times New Roman"/>
      <w:szCs w:val="20"/>
    </w:rPr>
  </w:style>
  <w:style w:type="paragraph" w:styleId="5">
    <w:name w:val="footer"/>
    <w:basedOn w:val="1"/>
    <w:link w:val="11"/>
    <w:semiHidden/>
    <w:qFormat/>
    <w:uiPriority w:val="99"/>
    <w:pPr>
      <w:tabs>
        <w:tab w:val="center" w:pos="4153"/>
        <w:tab w:val="right" w:pos="8306"/>
      </w:tabs>
      <w:snapToGrid w:val="0"/>
      <w:jc w:val="left"/>
    </w:pPr>
    <w:rPr>
      <w:sz w:val="18"/>
      <w:szCs w:val="18"/>
    </w:rPr>
  </w:style>
  <w:style w:type="paragraph" w:styleId="6">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locked/>
    <w:uiPriority w:val="99"/>
    <w:rPr>
      <w:sz w:val="18"/>
      <w:szCs w:val="18"/>
    </w:rPr>
  </w:style>
  <w:style w:type="character" w:customStyle="1" w:styleId="11">
    <w:name w:val="页脚 字符"/>
    <w:basedOn w:val="9"/>
    <w:link w:val="5"/>
    <w:semiHidden/>
    <w:qFormat/>
    <w:locked/>
    <w:uiPriority w:val="99"/>
    <w:rPr>
      <w:sz w:val="18"/>
      <w:szCs w:val="18"/>
    </w:rPr>
  </w:style>
  <w:style w:type="character" w:customStyle="1" w:styleId="12">
    <w:name w:val="纯文本 字符"/>
    <w:basedOn w:val="9"/>
    <w:link w:val="4"/>
    <w:qFormat/>
    <w:uiPriority w:val="0"/>
    <w:rPr>
      <w:rFonts w:ascii="宋体" w:hAnsi="Courier New"/>
      <w:kern w:val="2"/>
      <w:sz w:val="21"/>
    </w:rPr>
  </w:style>
  <w:style w:type="paragraph" w:customStyle="1" w:styleId="1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931FEB-DB2E-4547-AC37-D6C123BC559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227</Words>
  <Characters>1294</Characters>
  <Lines>10</Lines>
  <Paragraphs>3</Paragraphs>
  <TotalTime>4</TotalTime>
  <ScaleCrop>false</ScaleCrop>
  <LinksUpToDate>false</LinksUpToDate>
  <CharactersWithSpaces>1518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2018-11-02T06:29:00Z</dcterms:created>
  <dc:creator>admin</dc:creator>
  <cp:lastModifiedBy>huadu</cp:lastModifiedBy>
  <cp:lastPrinted>2023-05-15T09:55:00Z</cp:lastPrinted>
  <dcterms:modified xsi:type="dcterms:W3CDTF">2024-07-03T09:51:45Z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