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560" w:lineRule="exact"/>
        <w:ind w:right="-94"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花都区</w:t>
      </w:r>
      <w:r>
        <w:rPr>
          <w:rFonts w:hint="eastAsia" w:ascii="方正小标宋_GBK" w:hAnsi="方正小标宋_GBK" w:eastAsia="方正小标宋_GBK" w:cs="方正小标宋_GBK"/>
          <w:sz w:val="44"/>
          <w:szCs w:val="44"/>
        </w:rPr>
        <w:t>建筑施工领域近期</w:t>
      </w:r>
      <w:r>
        <w:rPr>
          <w:rFonts w:hint="eastAsia" w:ascii="方正小标宋_GBK" w:hAnsi="方正小标宋_GBK" w:eastAsia="方正小标宋_GBK" w:cs="方正小标宋_GBK"/>
          <w:sz w:val="44"/>
          <w:szCs w:val="44"/>
          <w:lang w:eastAsia="zh-CN"/>
        </w:rPr>
        <w:t>行政处罚情况汇总表</w:t>
      </w:r>
    </w:p>
    <w:bookmarkEnd w:id="0"/>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4501"/>
        <w:gridCol w:w="4812"/>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560" w:lineRule="exact"/>
              <w:ind w:right="-94"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4501" w:type="dxa"/>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560" w:lineRule="exact"/>
              <w:ind w:right="-94"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4812" w:type="dxa"/>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560" w:lineRule="exact"/>
              <w:ind w:right="-94"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存在问题</w:t>
            </w:r>
          </w:p>
        </w:tc>
        <w:tc>
          <w:tcPr>
            <w:tcW w:w="3588" w:type="dxa"/>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560" w:lineRule="exact"/>
              <w:ind w:right="-94"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田美村商业商务楼</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施工现场2#楼底层抹灰用操作架搭设不规范，架体不牢固且作业面临边缺防护栏杆</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对项目负责人陆**罚款人民币1万元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中旅·名门府建设项目一期二标段</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该项目施工现场登高操作平台作业面周边缺防护栏杆或栏杆有缺失，登高作业人员身上未配备安全带，存在安全事故隐患和违反操作规程的行为</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对项目负责人李*罚款人民币1.5万元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广州市长峰新型建筑科技有限公司PC项目厂房(自编号1#)及地下室、厂房(自编号:2#)及地下室、厂房(自编号:3#)、配电房(自编号:6#)</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该项目施工现场架体未架设好就集中堆放材料，模板支架扫地杆、水平杆剪刀撑设置不足，部分高处作业人员未系安全带，存在安全事故隐患和违反操作规程的行为</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对项目负责人陈**罚款人民币1.5万元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沙驰品牌总部项目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施工现场外脚手架未配合施工进度搭设（外脚手架未高出作业面1.2m）</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对项目负责人卢**罚款人民币1万元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广州市中建房地产空港经济区珑悦台住宅建设项目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该项目施工现场较多窗台临边未设置栏护、7#楼屋面临边及采光井临边栏护不严。</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对项目负责人汤*罚款人民币1万元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鸿讯智能平板产业基地建设项目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该项目上部楼层内较多风井、管井等洞口栏护缺失</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对项目负责人刘**罚款人民币1万元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箱包制造厂房建设项目厂房</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该项目电梯井未设置硬封闭，外架四周随意开口，通道位置使用探头板</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对项目负责人杨**罚款人民币1万元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中旅·名门府建设项目一期一标段</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该项目4#塔吊吊螺丝顶托未使用吊料斗，5#、6#施工电梯候机人员能从楼层内打开层门，存在安全事故隐患和违反操作规程的行为。</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对项目负责人吴**罚款人民币1.5万元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花都区赤坭镇赤坭村留用地建设项目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该项目施工机具传动部位(皮带)缺失保护罩，基坑边缺防护栏杆</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对项目负责人窦**罚款人民币1万元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中国电建大湾区科创中心基地商住两用建设工程三标段（自编号：C）-商务办公楼（自编号：9#）【±0.000以上】</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该项目施工现场电梯井安全防护缺失，电梯井内18至22层之间未设置硬封闭隔层，顶部操作层（22层）部分洞口未设置水平防护</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对项目负责人陈*罚款人民币1万元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中国电建大湾区科创中心基地商住两用建设工程二标段（自编号：B）</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4#塔吊吊装模板作业时，将短小模板夹在一起混合起吊，短料吊装未使用吊料斗</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对项目负责人叶*罚款人民币2.4万元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广州市花都区永基冶铸厂厂房建设项目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地下消防水池顶部周边及楼梯无临边防护</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对安全员徐**罚款人民币0.1万元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白云机场三期扩建工程周边临空经济产业园区基础设施建设三期工程（清㘵项目）地块一、地块六、地块九</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楼梯未设置临边拦护、预留洞口未封盖</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对安全员徐**罚款人民币0.1万元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白云机场三期扩建工程周边临空经济产业园区基础设施建设三期工程（龙口-小布二期）（第一批）设计施工总承包（地块二十）</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3号楼首层设置的施工通道未搭设安全挡板。</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对项目负责人高**罚款人民币1万元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欧京玛产业建设项目厂房(自编号:1#、2#)及连廊、地下室</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起重设备现场作业未设置工作半径防护措施。</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对项目负责人刘**罚款人民币1万元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花都区广花公路以东、雅瑶中路以南 CA1207006、CA1207019 地块自编号：分地块二</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工人安装模板时，局部临边没有设置防护栏杆</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对项目负责人葛*罚款人民币1万元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广州耀华国际教育项目(二期)</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教学楼北侧未设置消防水源，楼层未设置消防水源、消防水箱、水带等灭火设施</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对项目负责人杨**罚款人民币1万元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广州市花都区花山镇城西石场建筑用花岗岩矿项目粗碎车间、中细碎车间、成品筛分车间、成品料仓、弃料仓建设工程</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动火审批流程资料不齐全，多人作业，只有一份动火审批。</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对项目负责人魏*罚款人民币1万元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箱包制造厂房建设项目厂房 F</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吊料斗堆放在外架上，施工升降机专用电箱违章串接灯线</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对项目负责人杨**罚款人民币1万元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中旅·阿那亚九龙湖生态度假区项目 F 区工程 F3F4 地块 9#-11#楼</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9-11#楼楼层作业面临边无拦护，19#楼外侧高边坡无临边防护措施</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对项目负责人张*罚款人民币1万元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飞行者智德通信电子科技园建设项目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该项目安全员3月基本未在现场履职，安全员检查记录缺失</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对安全员刘**罚款人民币0.1万元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广州蔻斯汀化妆品生产基地项目基坑支护和土方开挖工程</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施工现场2#塔吊30m处起重臂斜腹杆开裂、2#施工梯6F 标节斜杆变形和2F 层门脱焊固定不可靠</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对项目负责人詹**罚款人民币1万元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广州巨龙科技智能制造总部基地</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第二道附墙一处连接销轴开口销未开口</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对项目负责人吕*罚款人民币1万元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白云机场三期扩建工程周边临空经济产业园区基础设施建设三期工程（小㘵-平山首期）（第一批）设计施工总承包（地块十） 【±0.000以上】</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k3#施工升降机第 8 层层门可往吊笼一侧开启（右侧）</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对项目负责人孙*罚款人民币1万元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伊康纳斯研产销总部项目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该项目3#电梯左笼工人无证（未取得特种作业操作资格证书）开机及塔吊吊装钢管作业 ，工人无证（未取得特种作业操作资格证书）指挥</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对广州市*康建筑有限公司罚款人民币3万元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红菱总部科研基地项目</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塔吊进行短料吊装作业时未使用吊料斗</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对项目负责人徐**罚款人民币1万元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汽车灯具加工厂</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工人无证（特种作业操作资格证书）驾驶施工升降机</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对广东*华建设工程有限公司罚款人民币1.5万元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新能源汽车铝压铸零部件项目厂房（自编号：2#）</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施工现场外脚手架搭设跟不上结构楼层施工进度，架体高度没有超过作业面临边1.2m 以上</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对项目负责人何**罚款人民币1万元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4501"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广州市诚至信贸易有限公司自行车装配项目厂房（自编号：1#）</w:t>
            </w:r>
          </w:p>
        </w:tc>
        <w:tc>
          <w:tcPr>
            <w:tcW w:w="4812"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该项目汽车吊吊运短小材料未使用料斗，存在违反操作规程的行为</w:t>
            </w:r>
          </w:p>
        </w:tc>
        <w:tc>
          <w:tcPr>
            <w:tcW w:w="3588" w:type="dxa"/>
            <w:vAlign w:val="center"/>
          </w:tcPr>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240" w:lineRule="auto"/>
              <w:ind w:right="-94" w:rightChars="0"/>
              <w:jc w:val="center"/>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对项目负责人匡**罚款人民币1万元</w:t>
            </w:r>
          </w:p>
        </w:tc>
      </w:tr>
    </w:tbl>
    <w:p>
      <w:pPr>
        <w:keepNext w:val="0"/>
        <w:keepLines w:val="0"/>
        <w:pageBreakBefore w:val="0"/>
        <w:widowControl w:val="0"/>
        <w:tabs>
          <w:tab w:val="left" w:pos="2775"/>
          <w:tab w:val="right" w:pos="7140"/>
        </w:tabs>
        <w:kinsoku/>
        <w:wordWrap w:val="0"/>
        <w:overflowPunct/>
        <w:topLinePunct w:val="0"/>
        <w:autoSpaceDE/>
        <w:autoSpaceDN/>
        <w:bidi w:val="0"/>
        <w:adjustRightInd/>
        <w:snapToGrid/>
        <w:spacing w:line="560" w:lineRule="exact"/>
        <w:ind w:right="-94" w:rightChars="0"/>
        <w:jc w:val="both"/>
        <w:textAlignment w:val="auto"/>
        <w:rPr>
          <w:rFonts w:hint="default" w:ascii="仿宋_GB2312" w:hAnsi="仿宋_GB2312" w:eastAsia="仿宋_GB2312" w:cs="仿宋_GB2312"/>
          <w:sz w:val="32"/>
          <w:szCs w:val="32"/>
          <w:lang w:val="en-US" w:eastAsia="zh-CN"/>
        </w:rPr>
      </w:pPr>
    </w:p>
    <w:sectPr>
      <w:pgSz w:w="16838" w:h="11906" w:orient="landscape"/>
      <w:pgMar w:top="1800" w:right="1440" w:bottom="161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GFjNTE2ZDk5YjJjMTFlZjAzMWVhYTk1M2Q5NjEifQ=="/>
  </w:docVars>
  <w:rsids>
    <w:rsidRoot w:val="00E83F23"/>
    <w:rsid w:val="00017959"/>
    <w:rsid w:val="000A47FB"/>
    <w:rsid w:val="000D29CA"/>
    <w:rsid w:val="001255DB"/>
    <w:rsid w:val="00186FE4"/>
    <w:rsid w:val="001B1814"/>
    <w:rsid w:val="001C2AFD"/>
    <w:rsid w:val="001D469B"/>
    <w:rsid w:val="002D2B01"/>
    <w:rsid w:val="002E5E25"/>
    <w:rsid w:val="0033185E"/>
    <w:rsid w:val="003502E7"/>
    <w:rsid w:val="00497AE3"/>
    <w:rsid w:val="004C73A7"/>
    <w:rsid w:val="005524ED"/>
    <w:rsid w:val="005F4A73"/>
    <w:rsid w:val="006469B4"/>
    <w:rsid w:val="00653405"/>
    <w:rsid w:val="007614E7"/>
    <w:rsid w:val="00764649"/>
    <w:rsid w:val="007E142E"/>
    <w:rsid w:val="007F6D1D"/>
    <w:rsid w:val="008014C6"/>
    <w:rsid w:val="00812A16"/>
    <w:rsid w:val="008277E9"/>
    <w:rsid w:val="008674F4"/>
    <w:rsid w:val="008938DC"/>
    <w:rsid w:val="0089723B"/>
    <w:rsid w:val="00897867"/>
    <w:rsid w:val="008B2868"/>
    <w:rsid w:val="00927EF3"/>
    <w:rsid w:val="009850A5"/>
    <w:rsid w:val="009D57C4"/>
    <w:rsid w:val="00A67C4A"/>
    <w:rsid w:val="00AF34A9"/>
    <w:rsid w:val="00B03641"/>
    <w:rsid w:val="00B250C1"/>
    <w:rsid w:val="00B66DA3"/>
    <w:rsid w:val="00BD53C2"/>
    <w:rsid w:val="00BE0032"/>
    <w:rsid w:val="00C608FF"/>
    <w:rsid w:val="00CC57B3"/>
    <w:rsid w:val="00CE7BD2"/>
    <w:rsid w:val="00CF5ED3"/>
    <w:rsid w:val="00D661F8"/>
    <w:rsid w:val="00D944F5"/>
    <w:rsid w:val="00E02955"/>
    <w:rsid w:val="00E06D4A"/>
    <w:rsid w:val="00E23178"/>
    <w:rsid w:val="00E83F23"/>
    <w:rsid w:val="00EC1764"/>
    <w:rsid w:val="00F168F1"/>
    <w:rsid w:val="00F95F58"/>
    <w:rsid w:val="00FE7E41"/>
    <w:rsid w:val="01B5068E"/>
    <w:rsid w:val="039213ED"/>
    <w:rsid w:val="04860F57"/>
    <w:rsid w:val="04FB5593"/>
    <w:rsid w:val="052A26A3"/>
    <w:rsid w:val="05925657"/>
    <w:rsid w:val="088E5E90"/>
    <w:rsid w:val="09015ED3"/>
    <w:rsid w:val="0C041ED5"/>
    <w:rsid w:val="0C450C4F"/>
    <w:rsid w:val="0CBE4DD1"/>
    <w:rsid w:val="0FA9609B"/>
    <w:rsid w:val="11597C25"/>
    <w:rsid w:val="13B01129"/>
    <w:rsid w:val="175D26FB"/>
    <w:rsid w:val="17DC2790"/>
    <w:rsid w:val="1B092BF0"/>
    <w:rsid w:val="1B402DD1"/>
    <w:rsid w:val="1B902902"/>
    <w:rsid w:val="1CE76F29"/>
    <w:rsid w:val="1E3F3A61"/>
    <w:rsid w:val="1F721F3D"/>
    <w:rsid w:val="241E00A5"/>
    <w:rsid w:val="25CE1AE5"/>
    <w:rsid w:val="2AF14762"/>
    <w:rsid w:val="2E690C89"/>
    <w:rsid w:val="2F6D46A3"/>
    <w:rsid w:val="2F8B4A66"/>
    <w:rsid w:val="324A5283"/>
    <w:rsid w:val="364F7CBC"/>
    <w:rsid w:val="3D985F01"/>
    <w:rsid w:val="3E075107"/>
    <w:rsid w:val="3FDA64AA"/>
    <w:rsid w:val="412B7B66"/>
    <w:rsid w:val="41B45661"/>
    <w:rsid w:val="42936C95"/>
    <w:rsid w:val="449D2AEF"/>
    <w:rsid w:val="49D0173C"/>
    <w:rsid w:val="4BC70813"/>
    <w:rsid w:val="4D6012FD"/>
    <w:rsid w:val="4D812783"/>
    <w:rsid w:val="4E5A10E5"/>
    <w:rsid w:val="4FE2090B"/>
    <w:rsid w:val="541532F4"/>
    <w:rsid w:val="54402064"/>
    <w:rsid w:val="593916A3"/>
    <w:rsid w:val="596460CF"/>
    <w:rsid w:val="59FE7E37"/>
    <w:rsid w:val="5C9D1FF8"/>
    <w:rsid w:val="5E1E3BC1"/>
    <w:rsid w:val="60D42CFD"/>
    <w:rsid w:val="610306B3"/>
    <w:rsid w:val="614503DF"/>
    <w:rsid w:val="61D81992"/>
    <w:rsid w:val="62EF7FEA"/>
    <w:rsid w:val="65BE3494"/>
    <w:rsid w:val="6655307E"/>
    <w:rsid w:val="6A3E1095"/>
    <w:rsid w:val="6F54741B"/>
    <w:rsid w:val="71F02114"/>
    <w:rsid w:val="738C7EBE"/>
    <w:rsid w:val="73973158"/>
    <w:rsid w:val="77424BA3"/>
    <w:rsid w:val="781C70C7"/>
    <w:rsid w:val="7BF037C1"/>
    <w:rsid w:val="7E4A1E84"/>
    <w:rsid w:val="7ED0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Plain Text1"/>
    <w:basedOn w:val="1"/>
    <w:autoRedefine/>
    <w:qFormat/>
    <w:uiPriority w:val="0"/>
    <w:rPr>
      <w:rFonts w:ascii="宋体" w:hAnsi="Courier New" w:eastAsia="宋体" w:cs="Courier New"/>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20"/>
    <w:rPr>
      <w:i/>
    </w:r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1537</Words>
  <Characters>1583</Characters>
  <Lines>3</Lines>
  <Paragraphs>1</Paragraphs>
  <TotalTime>51</TotalTime>
  <ScaleCrop>false</ScaleCrop>
  <LinksUpToDate>false</LinksUpToDate>
  <CharactersWithSpaces>1595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2019-10-16T02:44:00Z</dcterms:created>
  <dc:creator>黄浩轩</dc:creator>
  <cp:lastModifiedBy>遐迩</cp:lastModifiedBy>
  <cp:lastPrinted>2023-06-25T08:08:00Z</cp:lastPrinted>
  <dcterms:modified xsi:type="dcterms:W3CDTF">2024-09-04T07:43:51Z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0CBECA2CCD4D473BBAA89434F972DFBC_13</vt:lpwstr>
  </property>
</Properties>
</file>