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65" w:rsidRPr="00BA3265" w:rsidRDefault="00BA3265" w:rsidP="00BA3265">
      <w:pPr>
        <w:spacing w:line="560" w:lineRule="exact"/>
        <w:jc w:val="left"/>
        <w:rPr>
          <w:rFonts w:ascii="黑体" w:eastAsia="黑体" w:hAnsi="黑体" w:cs="黑体"/>
          <w:sz w:val="21"/>
          <w:szCs w:val="21"/>
        </w:rPr>
      </w:pPr>
      <w:r>
        <w:rPr>
          <w:rFonts w:ascii="黑体" w:eastAsia="黑体" w:hAnsi="黑体" w:cs="黑体" w:hint="eastAsia"/>
          <w:sz w:val="21"/>
          <w:szCs w:val="21"/>
        </w:rPr>
        <w:t>附件：</w:t>
      </w:r>
    </w:p>
    <w:p w:rsidR="00581A8A" w:rsidRDefault="00DA1CFA">
      <w:pPr>
        <w:spacing w:line="56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公众意见反馈情况一览表</w:t>
      </w:r>
    </w:p>
    <w:p w:rsidR="00581A8A" w:rsidRDefault="00581A8A">
      <w:pPr>
        <w:spacing w:line="560" w:lineRule="exact"/>
      </w:pPr>
    </w:p>
    <w:tbl>
      <w:tblPr>
        <w:tblStyle w:val="a4"/>
        <w:tblW w:w="14174" w:type="dxa"/>
        <w:tblLayout w:type="fixed"/>
        <w:tblLook w:val="04A0"/>
      </w:tblPr>
      <w:tblGrid>
        <w:gridCol w:w="888"/>
        <w:gridCol w:w="1547"/>
        <w:gridCol w:w="9591"/>
        <w:gridCol w:w="2148"/>
      </w:tblGrid>
      <w:tr w:rsidR="00581A8A">
        <w:trPr>
          <w:trHeight w:val="475"/>
        </w:trPr>
        <w:tc>
          <w:tcPr>
            <w:tcW w:w="888" w:type="dxa"/>
          </w:tcPr>
          <w:p w:rsidR="00581A8A" w:rsidRDefault="00DA1CFA">
            <w:pPr>
              <w:spacing w:line="560" w:lineRule="exact"/>
              <w:jc w:val="center"/>
              <w:rPr>
                <w:rFonts w:ascii="仿宋" w:hAnsi="仿宋" w:cs="仿宋"/>
                <w:szCs w:val="32"/>
              </w:rPr>
            </w:pPr>
            <w:r>
              <w:rPr>
                <w:rFonts w:ascii="仿宋" w:hAnsi="仿宋" w:cs="仿宋" w:hint="eastAsia"/>
                <w:szCs w:val="32"/>
              </w:rPr>
              <w:t>序号</w:t>
            </w:r>
          </w:p>
        </w:tc>
        <w:tc>
          <w:tcPr>
            <w:tcW w:w="1547" w:type="dxa"/>
          </w:tcPr>
          <w:p w:rsidR="00581A8A" w:rsidRDefault="00DA1CFA">
            <w:pPr>
              <w:spacing w:line="560" w:lineRule="exact"/>
              <w:jc w:val="center"/>
              <w:rPr>
                <w:rFonts w:ascii="仿宋" w:hAnsi="仿宋" w:cs="仿宋"/>
                <w:szCs w:val="32"/>
              </w:rPr>
            </w:pPr>
            <w:r>
              <w:rPr>
                <w:rFonts w:ascii="仿宋" w:hAnsi="仿宋" w:cs="仿宋" w:hint="eastAsia"/>
                <w:szCs w:val="32"/>
              </w:rPr>
              <w:t>公众信息</w:t>
            </w:r>
          </w:p>
        </w:tc>
        <w:tc>
          <w:tcPr>
            <w:tcW w:w="9591" w:type="dxa"/>
          </w:tcPr>
          <w:p w:rsidR="00581A8A" w:rsidRDefault="00DA1CFA">
            <w:pPr>
              <w:spacing w:line="560" w:lineRule="exact"/>
              <w:jc w:val="center"/>
              <w:rPr>
                <w:rFonts w:ascii="仿宋" w:hAnsi="仿宋" w:cs="仿宋"/>
                <w:szCs w:val="32"/>
              </w:rPr>
            </w:pPr>
            <w:r>
              <w:rPr>
                <w:rFonts w:ascii="仿宋" w:hAnsi="仿宋" w:cs="仿宋" w:hint="eastAsia"/>
                <w:szCs w:val="32"/>
              </w:rPr>
              <w:t>意见反馈情况</w:t>
            </w:r>
          </w:p>
        </w:tc>
        <w:tc>
          <w:tcPr>
            <w:tcW w:w="2148" w:type="dxa"/>
          </w:tcPr>
          <w:p w:rsidR="00581A8A" w:rsidRDefault="00DA1CFA">
            <w:pPr>
              <w:spacing w:line="560" w:lineRule="exact"/>
              <w:jc w:val="center"/>
              <w:rPr>
                <w:rFonts w:ascii="仿宋" w:hAnsi="仿宋" w:cs="仿宋"/>
                <w:szCs w:val="32"/>
              </w:rPr>
            </w:pPr>
            <w:r>
              <w:rPr>
                <w:rFonts w:ascii="仿宋" w:hAnsi="仿宋" w:cs="仿宋" w:hint="eastAsia"/>
                <w:szCs w:val="32"/>
              </w:rPr>
              <w:t>意见采纳与否</w:t>
            </w:r>
          </w:p>
        </w:tc>
      </w:tr>
      <w:tr w:rsidR="00581A8A">
        <w:tc>
          <w:tcPr>
            <w:tcW w:w="888" w:type="dxa"/>
            <w:vAlign w:val="center"/>
          </w:tcPr>
          <w:p w:rsidR="00581A8A" w:rsidRDefault="00DA1CFA">
            <w:pPr>
              <w:spacing w:line="560" w:lineRule="exact"/>
              <w:jc w:val="center"/>
              <w:rPr>
                <w:rFonts w:ascii="仿宋" w:hAnsi="仿宋" w:cs="仿宋"/>
                <w:szCs w:val="32"/>
              </w:rPr>
            </w:pPr>
            <w:r>
              <w:rPr>
                <w:rFonts w:ascii="仿宋" w:hAnsi="仿宋" w:cs="仿宋" w:hint="eastAsia"/>
                <w:szCs w:val="32"/>
              </w:rPr>
              <w:t>1</w:t>
            </w:r>
          </w:p>
        </w:tc>
        <w:tc>
          <w:tcPr>
            <w:tcW w:w="1547" w:type="dxa"/>
            <w:vAlign w:val="center"/>
          </w:tcPr>
          <w:p w:rsidR="00581A8A" w:rsidRDefault="00DA1CFA" w:rsidP="007C4616">
            <w:pPr>
              <w:wordWrap w:val="0"/>
              <w:spacing w:line="560" w:lineRule="exact"/>
              <w:jc w:val="center"/>
            </w:pPr>
            <w:r>
              <w:rPr>
                <w:rFonts w:hint="eastAsia"/>
              </w:rPr>
              <w:t>许立风</w:t>
            </w:r>
          </w:p>
        </w:tc>
        <w:tc>
          <w:tcPr>
            <w:tcW w:w="9591" w:type="dxa"/>
          </w:tcPr>
          <w:p w:rsidR="00581A8A" w:rsidRDefault="00DA1CFA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hAnsi="仿宋" w:cs="仿宋"/>
                <w:color w:val="000000"/>
                <w:kern w:val="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</w:rPr>
              <w:t>我认为花都旅游景点的发展主要需从交通入手，因为单靠本区居民人流量不足，需要吸引更多的市区游客或其他地区游客来花都观光。我这边针对旅游业发展有几点建议：</w:t>
            </w:r>
          </w:p>
          <w:p w:rsidR="00581A8A" w:rsidRDefault="00DA1CFA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</w:rPr>
              <w:t>1.部分景点之间联系可用加密相关的公交路线，比如花21路，经过圆玄道观+石头记+洪秀全故居三个知名景点，客流较大，周末时候公交很拥挤，相关旅游路线可以加密公交路线，也可在4小时内能游玩的景点之间增加公交线路。南下市区公交较少，也不利于广州市区内市民来道观游玩。</w:t>
            </w:r>
            <w:bookmarkStart w:id="0" w:name="_GoBack"/>
            <w:bookmarkEnd w:id="0"/>
          </w:p>
          <w:p w:rsidR="00581A8A" w:rsidRDefault="00DA1CFA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</w:rPr>
              <w:t>2.之前看到网上规划广州地铁29号线会以花都汽车城为起点，建议起点北移，可在迎宾大道西与红棉大道口设置站点新华工业区</w:t>
            </w:r>
            <w:r>
              <w:rPr>
                <w:rFonts w:ascii="仿宋" w:hAnsi="仿宋" w:cs="仿宋" w:hint="eastAsia"/>
                <w:color w:val="000000"/>
                <w:kern w:val="0"/>
                <w:szCs w:val="32"/>
              </w:rPr>
              <w:lastRenderedPageBreak/>
              <w:t>站，该站点离圆玄道观和石头记距离都在一公里左右，方便市区内游客，直接搭地铁到达，同时也利于新华工业区的发展。</w:t>
            </w:r>
          </w:p>
          <w:p w:rsidR="00581A8A" w:rsidRDefault="00DA1CFA">
            <w:pPr>
              <w:widowControl/>
              <w:spacing w:line="560" w:lineRule="exact"/>
              <w:ind w:firstLineChars="200" w:firstLine="640"/>
              <w:jc w:val="left"/>
              <w:rPr>
                <w:rFonts w:ascii="仿宋" w:hAnsi="仿宋" w:cs="仿宋"/>
                <w:color w:val="000000"/>
                <w:szCs w:val="32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</w:rPr>
              <w:t>目前我认为核心主要是交通问题，不便于市区内游客到来。因为像石头记和圆玄道观在广州甚至整个广东省都是稀少的。</w:t>
            </w:r>
          </w:p>
          <w:p w:rsidR="00581A8A" w:rsidRDefault="00DA1CFA">
            <w:pPr>
              <w:widowControl/>
              <w:spacing w:line="560" w:lineRule="exact"/>
              <w:ind w:firstLineChars="200" w:firstLine="640"/>
              <w:jc w:val="left"/>
            </w:pPr>
            <w:r>
              <w:rPr>
                <w:rFonts w:ascii="仿宋" w:hAnsi="仿宋" w:cs="仿宋" w:hint="eastAsia"/>
                <w:color w:val="000000"/>
                <w:kern w:val="0"/>
                <w:szCs w:val="32"/>
              </w:rPr>
              <w:t>这只是我的两个小小的建议，期待花都越来越好。</w:t>
            </w:r>
          </w:p>
        </w:tc>
        <w:tc>
          <w:tcPr>
            <w:tcW w:w="2148" w:type="dxa"/>
          </w:tcPr>
          <w:p w:rsidR="00581A8A" w:rsidRDefault="00DA1CFA">
            <w:pPr>
              <w:spacing w:line="560" w:lineRule="exact"/>
              <w:rPr>
                <w:b/>
                <w:bCs/>
              </w:rPr>
            </w:pPr>
            <w:r>
              <w:rPr>
                <w:rFonts w:hint="eastAsia"/>
              </w:rPr>
              <w:lastRenderedPageBreak/>
              <w:t>不采纳，该意见与《花都区加快促进旅游产业发展的政策措施》无具体相关关系。</w:t>
            </w:r>
          </w:p>
        </w:tc>
      </w:tr>
      <w:tr w:rsidR="00581A8A">
        <w:tc>
          <w:tcPr>
            <w:tcW w:w="888" w:type="dxa"/>
            <w:vAlign w:val="center"/>
          </w:tcPr>
          <w:p w:rsidR="00581A8A" w:rsidRDefault="00DA1CFA">
            <w:pPr>
              <w:spacing w:line="560" w:lineRule="exact"/>
              <w:jc w:val="center"/>
              <w:rPr>
                <w:rFonts w:ascii="仿宋" w:hAnsi="仿宋" w:cs="仿宋"/>
                <w:szCs w:val="32"/>
              </w:rPr>
            </w:pPr>
            <w:r>
              <w:rPr>
                <w:rFonts w:ascii="仿宋" w:hAnsi="仿宋" w:cs="仿宋" w:hint="eastAsia"/>
                <w:szCs w:val="32"/>
              </w:rPr>
              <w:lastRenderedPageBreak/>
              <w:t>2</w:t>
            </w:r>
          </w:p>
        </w:tc>
        <w:tc>
          <w:tcPr>
            <w:tcW w:w="1547" w:type="dxa"/>
            <w:vAlign w:val="center"/>
          </w:tcPr>
          <w:p w:rsidR="00581A8A" w:rsidRDefault="00DA1CFA" w:rsidP="007C4616">
            <w:pPr>
              <w:spacing w:line="560" w:lineRule="exact"/>
              <w:jc w:val="center"/>
            </w:pPr>
            <w:r>
              <w:rPr>
                <w:rFonts w:hint="eastAsia"/>
              </w:rPr>
              <w:t>李南</w:t>
            </w:r>
          </w:p>
        </w:tc>
        <w:tc>
          <w:tcPr>
            <w:tcW w:w="9591" w:type="dxa"/>
          </w:tcPr>
          <w:p w:rsidR="00581A8A" w:rsidRDefault="00DA1CFA">
            <w:pPr>
              <w:wordWrap w:val="0"/>
              <w:spacing w:line="560" w:lineRule="exact"/>
              <w:ind w:firstLineChars="200" w:firstLine="640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1.广地铁九号线如果能往南延伸的话，刚好可以跟佛山地铁F5支线并上！沿途刚好可以给塱头村的旅游经济发展带来更好的机遇。</w:t>
            </w:r>
          </w:p>
          <w:p w:rsidR="00581A8A" w:rsidRDefault="00DA1CFA">
            <w:pPr>
              <w:wordWrap w:val="0"/>
              <w:spacing w:line="560" w:lineRule="exact"/>
              <w:ind w:firstLineChars="200" w:firstLine="640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2.如能在花都区政府起建设个地铁线路经万达城再花山镇政府、终梯面镇，可以非常完美的带动花都区旅游业的发展，经过万达广场非常符合高端旅游人士去处，经过花山可以方便那边的学校市民进出广州市区，当然也可以在那里建设旅游价格平民休息区，终梯面，在地铁口那里搞个环线，环绕着红山村到高百丈和地铁口，这样就非常适合那些悠闲旅游喜欢看看山水的旅行者。</w:t>
            </w:r>
          </w:p>
          <w:p w:rsidR="00581A8A" w:rsidRDefault="00DA1CFA">
            <w:pPr>
              <w:wordWrap w:val="0"/>
              <w:spacing w:line="560" w:lineRule="exact"/>
              <w:ind w:firstLineChars="200" w:firstLine="640"/>
              <w:rPr>
                <w:rFonts w:ascii="仿宋" w:hAnsi="仿宋" w:cs="仿宋"/>
              </w:rPr>
            </w:pPr>
            <w:r>
              <w:rPr>
                <w:rFonts w:ascii="仿宋" w:hAnsi="仿宋" w:cs="仿宋" w:hint="eastAsia"/>
              </w:rPr>
              <w:t>3.地铁八号线北延段(24号线)可以延伸到经到狮岭到达美林湖最好不过了，可以带动美林湖的旅游让喜欢度假的人非常方便的去到，最最最关键的是经过狮岭镇，我敢说狮岭镇还发达过花都区中心根本就不像是个花都区的镇，地铁经过那里是绝对没有错的。</w:t>
            </w:r>
          </w:p>
        </w:tc>
        <w:tc>
          <w:tcPr>
            <w:tcW w:w="2148" w:type="dxa"/>
          </w:tcPr>
          <w:p w:rsidR="00581A8A" w:rsidRDefault="00DA1CFA">
            <w:pPr>
              <w:spacing w:line="560" w:lineRule="exact"/>
            </w:pPr>
            <w:r>
              <w:rPr>
                <w:rFonts w:hint="eastAsia"/>
              </w:rPr>
              <w:t>不采纳，该意见与本政策措施无具体相关关系。</w:t>
            </w:r>
          </w:p>
        </w:tc>
      </w:tr>
    </w:tbl>
    <w:p w:rsidR="00581A8A" w:rsidRDefault="00581A8A">
      <w:pPr>
        <w:spacing w:line="560" w:lineRule="exact"/>
        <w:sectPr w:rsidR="00581A8A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581A8A" w:rsidRDefault="00581A8A" w:rsidP="007C4616">
      <w:pPr>
        <w:spacing w:line="560" w:lineRule="exact"/>
      </w:pPr>
    </w:p>
    <w:sectPr w:rsidR="00581A8A" w:rsidSect="00581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06" w:rsidRDefault="00890006" w:rsidP="00BA3265">
      <w:r>
        <w:separator/>
      </w:r>
    </w:p>
  </w:endnote>
  <w:endnote w:type="continuationSeparator" w:id="0">
    <w:p w:rsidR="00890006" w:rsidRDefault="00890006" w:rsidP="00BA3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06" w:rsidRDefault="00890006" w:rsidP="00BA3265">
      <w:r>
        <w:separator/>
      </w:r>
    </w:p>
  </w:footnote>
  <w:footnote w:type="continuationSeparator" w:id="0">
    <w:p w:rsidR="00890006" w:rsidRDefault="00890006" w:rsidP="00BA32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0C77CEF"/>
    <w:rsid w:val="00581A8A"/>
    <w:rsid w:val="007C4616"/>
    <w:rsid w:val="00890006"/>
    <w:rsid w:val="009B179D"/>
    <w:rsid w:val="00BA3265"/>
    <w:rsid w:val="00DA1CFA"/>
    <w:rsid w:val="09BF1C99"/>
    <w:rsid w:val="0F883FA4"/>
    <w:rsid w:val="0F943F2F"/>
    <w:rsid w:val="10C77CEF"/>
    <w:rsid w:val="50D93632"/>
    <w:rsid w:val="6E1134B4"/>
    <w:rsid w:val="728D7DD4"/>
    <w:rsid w:val="776B3C95"/>
    <w:rsid w:val="79275026"/>
    <w:rsid w:val="7C89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81A8A"/>
    <w:pPr>
      <w:widowControl w:val="0"/>
      <w:jc w:val="both"/>
    </w:pPr>
    <w:rPr>
      <w:rFonts w:ascii="Calibri" w:eastAsia="仿宋" w:hAnsi="Calibri" w:cs="Calibri"/>
      <w:kern w:val="2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581A8A"/>
    <w:pPr>
      <w:ind w:firstLineChars="200" w:firstLine="420"/>
    </w:pPr>
    <w:rPr>
      <w:rFonts w:eastAsia="宋体" w:cs="Times New Roman"/>
    </w:rPr>
  </w:style>
  <w:style w:type="table" w:styleId="a4">
    <w:name w:val="Table Grid"/>
    <w:basedOn w:val="a2"/>
    <w:qFormat/>
    <w:rsid w:val="00581A8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BA3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BA3265"/>
    <w:rPr>
      <w:rFonts w:ascii="Calibri" w:eastAsia="仿宋" w:hAnsi="Calibri" w:cs="Calibri"/>
      <w:kern w:val="2"/>
      <w:sz w:val="18"/>
      <w:szCs w:val="18"/>
    </w:rPr>
  </w:style>
  <w:style w:type="paragraph" w:styleId="a6">
    <w:name w:val="footer"/>
    <w:basedOn w:val="a"/>
    <w:link w:val="Char0"/>
    <w:rsid w:val="00BA3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BA3265"/>
    <w:rPr>
      <w:rFonts w:ascii="Calibri" w:eastAsia="仿宋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朱雯惠</dc:creator>
  <cp:lastModifiedBy>evalu</cp:lastModifiedBy>
  <cp:revision>5</cp:revision>
  <dcterms:created xsi:type="dcterms:W3CDTF">2018-11-28T03:06:00Z</dcterms:created>
  <dcterms:modified xsi:type="dcterms:W3CDTF">2018-12-07T06:48:00Z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